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7E" w:rsidRPr="00B24CDD" w:rsidRDefault="000A6F2E" w:rsidP="00026BF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Research </w:t>
      </w:r>
      <w:r w:rsidR="00D078B6">
        <w:rPr>
          <w:b/>
        </w:rPr>
        <w:t>Topics in Growth and Development</w:t>
      </w:r>
    </w:p>
    <w:p w:rsidR="00FA75B8" w:rsidRDefault="00FA75B8" w:rsidP="00026BF9">
      <w:pPr>
        <w:jc w:val="center"/>
        <w:rPr>
          <w:b/>
        </w:rPr>
      </w:pPr>
    </w:p>
    <w:p w:rsidR="00253DA4" w:rsidRDefault="00D078B6" w:rsidP="00612F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Fall</w:t>
      </w:r>
      <w:r w:rsidR="007C5BC4">
        <w:rPr>
          <w:b/>
          <w:sz w:val="22"/>
          <w:szCs w:val="22"/>
        </w:rPr>
        <w:t>, 2021</w:t>
      </w:r>
    </w:p>
    <w:p w:rsidR="000A6F2E" w:rsidRDefault="000A6F2E" w:rsidP="00612FCD">
      <w:pPr>
        <w:jc w:val="center"/>
        <w:rPr>
          <w:b/>
          <w:sz w:val="22"/>
          <w:szCs w:val="22"/>
        </w:rPr>
      </w:pPr>
    </w:p>
    <w:p w:rsidR="000A6F2E" w:rsidRDefault="000A6F2E" w:rsidP="00612F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Professor Xiaodong Zhu</w:t>
      </w:r>
    </w:p>
    <w:p w:rsidR="00D61DAE" w:rsidRPr="00D61DAE" w:rsidRDefault="00D61DAE" w:rsidP="00705916">
      <w:pPr>
        <w:rPr>
          <w:bCs/>
          <w:sz w:val="22"/>
          <w:szCs w:val="22"/>
        </w:rPr>
      </w:pPr>
    </w:p>
    <w:p w:rsidR="00D61DAE" w:rsidRPr="00D61DAE" w:rsidRDefault="00D61DAE" w:rsidP="00D61DAE">
      <w:pPr>
        <w:rPr>
          <w:b/>
          <w:sz w:val="22"/>
          <w:szCs w:val="22"/>
          <w:u w:val="single"/>
        </w:rPr>
      </w:pPr>
    </w:p>
    <w:p w:rsidR="00D61DAE" w:rsidRPr="00D61DAE" w:rsidRDefault="00D61DAE" w:rsidP="00D61DAE">
      <w:pPr>
        <w:jc w:val="center"/>
        <w:rPr>
          <w:b/>
          <w:sz w:val="22"/>
          <w:szCs w:val="22"/>
        </w:rPr>
      </w:pPr>
      <w:r w:rsidRPr="00D61DAE">
        <w:rPr>
          <w:b/>
          <w:sz w:val="22"/>
          <w:szCs w:val="22"/>
        </w:rPr>
        <w:t>Course Description</w:t>
      </w:r>
    </w:p>
    <w:p w:rsidR="00D61DAE" w:rsidRPr="00D61DAE" w:rsidRDefault="00D61DAE" w:rsidP="00D61DAE">
      <w:pPr>
        <w:jc w:val="center"/>
        <w:rPr>
          <w:b/>
          <w:sz w:val="22"/>
          <w:szCs w:val="22"/>
        </w:rPr>
      </w:pPr>
    </w:p>
    <w:p w:rsidR="00D61DAE" w:rsidRPr="00D61DAE" w:rsidRDefault="000A6F2E" w:rsidP="00D61DAE">
      <w:pPr>
        <w:pStyle w:val="a9"/>
        <w:rPr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objective of this short course is to present frontier research topics in growth and development to students who are interested in doing research in this area. </w:t>
      </w:r>
      <w:r w:rsidR="002C1577">
        <w:rPr>
          <w:rFonts w:ascii="Times New Roman" w:hAnsi="Times New Roman"/>
          <w:sz w:val="22"/>
          <w:szCs w:val="22"/>
        </w:rPr>
        <w:t>To set the stage, I will first talk</w:t>
      </w:r>
      <w:r w:rsidR="001E155B">
        <w:rPr>
          <w:rFonts w:ascii="Times New Roman" w:hAnsi="Times New Roman"/>
          <w:sz w:val="22"/>
          <w:szCs w:val="22"/>
        </w:rPr>
        <w:t xml:space="preserve"> about the </w:t>
      </w:r>
      <w:r w:rsidR="002C1577">
        <w:rPr>
          <w:rFonts w:ascii="Times New Roman" w:hAnsi="Times New Roman"/>
          <w:sz w:val="22"/>
          <w:szCs w:val="22"/>
        </w:rPr>
        <w:t>basic</w:t>
      </w:r>
      <w:r w:rsidR="001E155B">
        <w:rPr>
          <w:rFonts w:ascii="Times New Roman" w:hAnsi="Times New Roman"/>
          <w:sz w:val="22"/>
          <w:szCs w:val="22"/>
        </w:rPr>
        <w:t xml:space="preserve"> neoclassical growth model and</w:t>
      </w:r>
      <w:r w:rsidR="002C1577">
        <w:rPr>
          <w:rFonts w:ascii="Times New Roman" w:hAnsi="Times New Roman"/>
          <w:sz w:val="22"/>
          <w:szCs w:val="22"/>
        </w:rPr>
        <w:t xml:space="preserve"> growth accounting</w:t>
      </w:r>
      <w:r w:rsidR="001E155B">
        <w:rPr>
          <w:rFonts w:ascii="Times New Roman" w:hAnsi="Times New Roman"/>
          <w:sz w:val="22"/>
          <w:szCs w:val="22"/>
        </w:rPr>
        <w:t>. T</w:t>
      </w:r>
      <w:r w:rsidR="002C1577">
        <w:rPr>
          <w:rFonts w:ascii="Times New Roman" w:hAnsi="Times New Roman"/>
          <w:sz w:val="22"/>
          <w:szCs w:val="22"/>
        </w:rPr>
        <w:t xml:space="preserve">hen </w:t>
      </w:r>
      <w:r w:rsidR="001E155B">
        <w:rPr>
          <w:rFonts w:ascii="Times New Roman" w:hAnsi="Times New Roman"/>
          <w:sz w:val="22"/>
          <w:szCs w:val="22"/>
        </w:rPr>
        <w:t xml:space="preserve">I will discuss </w:t>
      </w:r>
      <w:r w:rsidR="002C1577">
        <w:rPr>
          <w:rFonts w:ascii="Times New Roman" w:hAnsi="Times New Roman"/>
          <w:sz w:val="22"/>
          <w:szCs w:val="22"/>
        </w:rPr>
        <w:t>six topics listed below:</w:t>
      </w:r>
    </w:p>
    <w:p w:rsidR="00D61DAE" w:rsidRPr="00D61DAE" w:rsidRDefault="00D61DAE" w:rsidP="002C1577">
      <w:pPr>
        <w:pStyle w:val="a3"/>
        <w:spacing w:line="254" w:lineRule="atLeast"/>
        <w:ind w:left="74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D61DAE" w:rsidRPr="00D61DAE" w:rsidRDefault="000A6F2E" w:rsidP="00D61DAE">
      <w:pPr>
        <w:pStyle w:val="a3"/>
        <w:numPr>
          <w:ilvl w:val="0"/>
          <w:numId w:val="27"/>
        </w:numPr>
        <w:spacing w:line="254" w:lineRule="atLeast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="00D61DAE" w:rsidRPr="00D61DAE">
        <w:rPr>
          <w:rFonts w:ascii="Times New Roman" w:hAnsi="Times New Roman" w:cs="Times New Roman"/>
          <w:color w:val="000000"/>
          <w:lang w:val="en-US"/>
        </w:rPr>
        <w:t>evelopment Accounting</w:t>
      </w:r>
    </w:p>
    <w:p w:rsidR="00D61DAE" w:rsidRPr="00D61DAE" w:rsidRDefault="00D61DAE" w:rsidP="00D61DAE">
      <w:pPr>
        <w:pStyle w:val="a3"/>
        <w:numPr>
          <w:ilvl w:val="0"/>
          <w:numId w:val="27"/>
        </w:numPr>
        <w:spacing w:line="254" w:lineRule="atLeast"/>
        <w:jc w:val="both"/>
        <w:rPr>
          <w:rFonts w:ascii="Times New Roman" w:hAnsi="Times New Roman" w:cs="Times New Roman"/>
          <w:color w:val="000000"/>
        </w:rPr>
      </w:pPr>
      <w:r w:rsidRPr="00D61DAE">
        <w:rPr>
          <w:rFonts w:ascii="Times New Roman" w:hAnsi="Times New Roman" w:cs="Times New Roman"/>
          <w:color w:val="000000"/>
        </w:rPr>
        <w:t>Models of structural change</w:t>
      </w:r>
    </w:p>
    <w:p w:rsidR="000A6F2E" w:rsidRDefault="000A6F2E" w:rsidP="00D61DAE">
      <w:pPr>
        <w:pStyle w:val="a3"/>
        <w:numPr>
          <w:ilvl w:val="0"/>
          <w:numId w:val="27"/>
        </w:numPr>
        <w:spacing w:line="254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Agricultural Proudctivity Gap</w:t>
      </w:r>
    </w:p>
    <w:p w:rsidR="00D61DAE" w:rsidRPr="00D61DAE" w:rsidRDefault="00D61DAE" w:rsidP="00D61DAE">
      <w:pPr>
        <w:pStyle w:val="a3"/>
        <w:numPr>
          <w:ilvl w:val="0"/>
          <w:numId w:val="27"/>
        </w:numPr>
        <w:spacing w:line="254" w:lineRule="atLeast"/>
        <w:jc w:val="both"/>
        <w:rPr>
          <w:rFonts w:ascii="Times New Roman" w:hAnsi="Times New Roman" w:cs="Times New Roman"/>
          <w:color w:val="000000"/>
        </w:rPr>
      </w:pPr>
      <w:r w:rsidRPr="00D61DAE">
        <w:rPr>
          <w:rFonts w:ascii="Times New Roman" w:hAnsi="Times New Roman" w:cs="Times New Roman"/>
          <w:color w:val="000000"/>
        </w:rPr>
        <w:t>Barriers to structural change</w:t>
      </w:r>
    </w:p>
    <w:p w:rsidR="00D61DAE" w:rsidRPr="00D61DAE" w:rsidRDefault="00D61DAE" w:rsidP="00D61DAE">
      <w:pPr>
        <w:pStyle w:val="a3"/>
        <w:numPr>
          <w:ilvl w:val="0"/>
          <w:numId w:val="27"/>
        </w:numPr>
        <w:spacing w:line="254" w:lineRule="atLeast"/>
        <w:jc w:val="both"/>
        <w:rPr>
          <w:rFonts w:ascii="Times New Roman" w:hAnsi="Times New Roman" w:cs="Times New Roman"/>
          <w:color w:val="000000"/>
          <w:lang w:val="en-US"/>
        </w:rPr>
      </w:pPr>
      <w:r w:rsidRPr="00D61DAE">
        <w:rPr>
          <w:rFonts w:ascii="Times New Roman" w:hAnsi="Times New Roman" w:cs="Times New Roman"/>
          <w:color w:val="000000"/>
          <w:lang w:val="en-US"/>
        </w:rPr>
        <w:t>Trade, migration and aggregate productivity</w:t>
      </w:r>
    </w:p>
    <w:p w:rsidR="00D61DAE" w:rsidRPr="000A6F2E" w:rsidRDefault="00D61DAE" w:rsidP="00D61DAE">
      <w:pPr>
        <w:pStyle w:val="a3"/>
        <w:numPr>
          <w:ilvl w:val="0"/>
          <w:numId w:val="27"/>
        </w:numPr>
        <w:spacing w:line="254" w:lineRule="atLeast"/>
        <w:ind w:left="720" w:hanging="360"/>
        <w:jc w:val="both"/>
        <w:rPr>
          <w:rFonts w:ascii="Times New Roman" w:hAnsi="Times New Roman" w:cs="Times New Roman"/>
          <w:color w:val="000000"/>
          <w:lang w:val="en-US"/>
        </w:rPr>
      </w:pPr>
      <w:r w:rsidRPr="00D61DAE">
        <w:rPr>
          <w:rFonts w:ascii="Times New Roman" w:hAnsi="Times New Roman" w:cs="Times New Roman"/>
          <w:color w:val="000000"/>
          <w:lang w:val="en-US"/>
        </w:rPr>
        <w:t xml:space="preserve">Trade and </w:t>
      </w:r>
      <w:r w:rsidR="000A6F2E">
        <w:rPr>
          <w:rFonts w:ascii="Times New Roman" w:hAnsi="Times New Roman" w:cs="Times New Roman"/>
          <w:color w:val="000000"/>
          <w:lang w:val="en-US"/>
        </w:rPr>
        <w:t>structural change</w:t>
      </w:r>
    </w:p>
    <w:p w:rsidR="00D61DAE" w:rsidRDefault="00D61DAE" w:rsidP="002C1577">
      <w:pPr>
        <w:rPr>
          <w:b/>
          <w:sz w:val="22"/>
          <w:szCs w:val="22"/>
        </w:rPr>
      </w:pPr>
    </w:p>
    <w:p w:rsidR="00705916" w:rsidRPr="007D7DB6" w:rsidRDefault="00705916" w:rsidP="002C1577">
      <w:pPr>
        <w:rPr>
          <w:b/>
          <w:sz w:val="22"/>
          <w:szCs w:val="22"/>
        </w:rPr>
      </w:pPr>
    </w:p>
    <w:p w:rsidR="004E5E96" w:rsidRPr="007D7DB6" w:rsidRDefault="004E5E96" w:rsidP="004E5E96">
      <w:pPr>
        <w:jc w:val="center"/>
        <w:rPr>
          <w:b/>
          <w:sz w:val="22"/>
          <w:szCs w:val="22"/>
        </w:rPr>
      </w:pPr>
      <w:r w:rsidRPr="007D7DB6">
        <w:rPr>
          <w:b/>
          <w:sz w:val="22"/>
          <w:szCs w:val="22"/>
        </w:rPr>
        <w:t>Reading List</w:t>
      </w:r>
    </w:p>
    <w:p w:rsidR="00C91A2A" w:rsidRDefault="00C91A2A" w:rsidP="00D61DAE">
      <w:pPr>
        <w:rPr>
          <w:sz w:val="22"/>
          <w:szCs w:val="22"/>
        </w:rPr>
      </w:pPr>
    </w:p>
    <w:p w:rsidR="001431F8" w:rsidRDefault="001431F8" w:rsidP="00D61DAE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General data reference</w:t>
      </w:r>
    </w:p>
    <w:p w:rsidR="001431F8" w:rsidRPr="001431F8" w:rsidRDefault="001431F8" w:rsidP="00D61DAE">
      <w:pPr>
        <w:rPr>
          <w:sz w:val="22"/>
          <w:szCs w:val="22"/>
          <w:u w:val="single"/>
        </w:rPr>
      </w:pPr>
    </w:p>
    <w:p w:rsidR="0053763B" w:rsidRPr="0053763B" w:rsidRDefault="00CB21CE" w:rsidP="00C91A2A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The </w:t>
      </w:r>
      <w:hyperlink r:id="rId7" w:history="1">
        <w:r w:rsidRPr="007D7DB6">
          <w:rPr>
            <w:rStyle w:val="a6"/>
            <w:rFonts w:ascii="Times New Roman" w:hAnsi="Times New Roman" w:cs="Times New Roman"/>
            <w:i/>
            <w:lang w:val="en-US"/>
          </w:rPr>
          <w:t>Groningen Growth and Development Centre</w:t>
        </w:r>
      </w:hyperlink>
      <w:r>
        <w:rPr>
          <w:rFonts w:ascii="Times New Roman" w:hAnsi="Times New Roman" w:cs="Times New Roman"/>
          <w:i/>
          <w:lang w:val="en-US"/>
        </w:rPr>
        <w:t xml:space="preserve"> at the</w:t>
      </w:r>
      <w:r w:rsidRPr="007D7DB6">
        <w:rPr>
          <w:rFonts w:ascii="Times New Roman" w:hAnsi="Times New Roman" w:cs="Times New Roman"/>
          <w:i/>
          <w:lang w:val="en-US"/>
        </w:rPr>
        <w:t xml:space="preserve"> University of Groningen</w:t>
      </w:r>
      <w:r>
        <w:rPr>
          <w:rFonts w:ascii="Times New Roman" w:hAnsi="Times New Roman" w:cs="Times New Roman"/>
          <w:i/>
          <w:lang w:val="en-US"/>
        </w:rPr>
        <w:t xml:space="preserve"> maintains several datasets that are commonly used for research in gr</w:t>
      </w:r>
      <w:r w:rsidR="0053763B">
        <w:rPr>
          <w:rFonts w:ascii="Times New Roman" w:hAnsi="Times New Roman" w:cs="Times New Roman"/>
          <w:i/>
          <w:lang w:val="en-US"/>
        </w:rPr>
        <w:t>owth and macro-development. In particular, there are four productivity datasets that are very useful:</w:t>
      </w:r>
    </w:p>
    <w:p w:rsidR="0053763B" w:rsidRPr="0053763B" w:rsidRDefault="005D6046" w:rsidP="0053763B">
      <w:pPr>
        <w:pStyle w:val="a3"/>
        <w:numPr>
          <w:ilvl w:val="1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53763B" w:rsidRPr="0053763B">
          <w:rPr>
            <w:rStyle w:val="a6"/>
            <w:rFonts w:eastAsia="Times New Roman"/>
            <w:b/>
            <w:bCs/>
          </w:rPr>
          <w:t>Penn World Table</w:t>
        </w:r>
      </w:hyperlink>
    </w:p>
    <w:p w:rsidR="0053763B" w:rsidRPr="0053763B" w:rsidRDefault="005D6046" w:rsidP="0053763B">
      <w:pPr>
        <w:pStyle w:val="a3"/>
        <w:numPr>
          <w:ilvl w:val="1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53763B" w:rsidRPr="0053763B">
          <w:rPr>
            <w:rStyle w:val="a6"/>
            <w:rFonts w:eastAsia="Times New Roman"/>
            <w:b/>
            <w:bCs/>
          </w:rPr>
          <w:t>10-Sector Database</w:t>
        </w:r>
      </w:hyperlink>
    </w:p>
    <w:p w:rsidR="0053763B" w:rsidRPr="0053763B" w:rsidRDefault="005D6046" w:rsidP="0053763B">
      <w:pPr>
        <w:pStyle w:val="a3"/>
        <w:numPr>
          <w:ilvl w:val="1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53763B" w:rsidRPr="0053763B">
          <w:rPr>
            <w:rStyle w:val="a6"/>
            <w:rFonts w:eastAsia="Times New Roman"/>
            <w:b/>
            <w:bCs/>
          </w:rPr>
          <w:t xml:space="preserve">EU KLEMS </w:t>
        </w:r>
      </w:hyperlink>
      <w:hyperlink r:id="rId11" w:history="1">
        <w:r w:rsidR="0053763B" w:rsidRPr="0053763B">
          <w:rPr>
            <w:rStyle w:val="a6"/>
            <w:rFonts w:eastAsia="Times New Roman"/>
            <w:b/>
            <w:bCs/>
          </w:rPr>
          <w:t>Database</w:t>
        </w:r>
      </w:hyperlink>
    </w:p>
    <w:p w:rsidR="00640FDE" w:rsidRPr="00640FDE" w:rsidRDefault="005D6046" w:rsidP="00640FDE">
      <w:pPr>
        <w:pStyle w:val="a3"/>
        <w:numPr>
          <w:ilvl w:val="1"/>
          <w:numId w:val="22"/>
        </w:numPr>
        <w:rPr>
          <w:rStyle w:val="ab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hyperlink r:id="rId12" w:history="1">
        <w:r w:rsidR="0053763B" w:rsidRPr="0053763B">
          <w:rPr>
            <w:rStyle w:val="a6"/>
            <w:rFonts w:eastAsia="Times New Roman"/>
            <w:b/>
            <w:bCs/>
          </w:rPr>
          <w:t>Productivity Level Database</w:t>
        </w:r>
      </w:hyperlink>
    </w:p>
    <w:p w:rsidR="00EC20B3" w:rsidRPr="00640FDE" w:rsidRDefault="00EC20B3" w:rsidP="00640FDE">
      <w:pPr>
        <w:pStyle w:val="a3"/>
        <w:ind w:left="1788"/>
        <w:rPr>
          <w:rStyle w:val="grame"/>
          <w:rFonts w:ascii="Times New Roman" w:eastAsia="Times New Roman" w:hAnsi="Times New Roman" w:cs="Times New Roman"/>
          <w:sz w:val="24"/>
          <w:szCs w:val="24"/>
        </w:rPr>
      </w:pPr>
    </w:p>
    <w:p w:rsidR="00026BF9" w:rsidRPr="00705916" w:rsidRDefault="008D38E7" w:rsidP="00705916">
      <w:pPr>
        <w:pStyle w:val="a3"/>
        <w:numPr>
          <w:ilvl w:val="0"/>
          <w:numId w:val="29"/>
        </w:numPr>
        <w:spacing w:before="120"/>
        <w:rPr>
          <w:u w:val="single"/>
        </w:rPr>
      </w:pPr>
      <w:r w:rsidRPr="00705916">
        <w:rPr>
          <w:u w:val="single"/>
        </w:rPr>
        <w:t>Growth Accounting</w:t>
      </w:r>
      <w:r w:rsidR="008826C6">
        <w:rPr>
          <w:rFonts w:hint="eastAsia"/>
          <w:u w:val="single"/>
        </w:rPr>
        <w:t xml:space="preserve"> </w:t>
      </w:r>
    </w:p>
    <w:p w:rsidR="00DF13F6" w:rsidRPr="007D7DB6" w:rsidRDefault="00DF13F6" w:rsidP="00DF13F6">
      <w:pPr>
        <w:pStyle w:val="a3"/>
        <w:spacing w:after="0"/>
        <w:ind w:left="1068"/>
        <w:rPr>
          <w:rFonts w:ascii="Times New Roman" w:hAnsi="Times New Roman" w:cs="Times New Roman"/>
          <w:lang w:val="en-US"/>
        </w:rPr>
      </w:pPr>
    </w:p>
    <w:p w:rsidR="0053763B" w:rsidRDefault="0053763B" w:rsidP="006F4A0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*Lec</w:t>
      </w:r>
      <w:r w:rsidR="00705916">
        <w:rPr>
          <w:rFonts w:ascii="Times New Roman" w:hAnsi="Times New Roman" w:cs="Times New Roman"/>
          <w:lang w:val="en-US"/>
        </w:rPr>
        <w:t>ture Note on Growth Accounting</w:t>
      </w:r>
    </w:p>
    <w:p w:rsidR="0053763B" w:rsidRPr="0053763B" w:rsidRDefault="0053763B" w:rsidP="005376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DF13F6" w:rsidRPr="007D7DB6">
        <w:rPr>
          <w:rFonts w:ascii="Times New Roman" w:hAnsi="Times New Roman" w:cs="Times New Roman"/>
          <w:lang w:val="en-US"/>
        </w:rPr>
        <w:t xml:space="preserve">Young, Alwyn. 1995. “The Tyranny of Numbers,” </w:t>
      </w:r>
      <w:r w:rsidR="00DF13F6" w:rsidRPr="007D7DB6">
        <w:rPr>
          <w:rFonts w:ascii="Times New Roman" w:hAnsi="Times New Roman" w:cs="Times New Roman"/>
          <w:i/>
          <w:lang w:val="en-US"/>
        </w:rPr>
        <w:t>Quarterly Journal of Economics</w:t>
      </w:r>
      <w:r w:rsidR="00DF13F6" w:rsidRPr="007D7DB6">
        <w:rPr>
          <w:rFonts w:ascii="Times New Roman" w:hAnsi="Times New Roman" w:cs="Times New Roman"/>
          <w:lang w:val="en-US"/>
        </w:rPr>
        <w:t>, 110 (3): 641-680.</w:t>
      </w:r>
    </w:p>
    <w:p w:rsidR="00D078B6" w:rsidRPr="00D078B6" w:rsidRDefault="0053763B" w:rsidP="00D078B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D078B6" w:rsidRPr="007D7DB6">
        <w:rPr>
          <w:rFonts w:ascii="Times New Roman" w:hAnsi="Times New Roman" w:cs="Times New Roman"/>
          <w:lang w:val="en-US"/>
        </w:rPr>
        <w:t xml:space="preserve">Hsieh, Chang-Tai. 2002. “What explains the Industrial Revolution in East Asia? Evidence from the Factor Markets,” </w:t>
      </w:r>
      <w:r w:rsidR="00D078B6" w:rsidRPr="007D7DB6">
        <w:rPr>
          <w:rFonts w:ascii="Times New Roman" w:hAnsi="Times New Roman" w:cs="Times New Roman"/>
          <w:i/>
          <w:lang w:val="en-US"/>
        </w:rPr>
        <w:t>American Economic Review</w:t>
      </w:r>
      <w:r w:rsidR="00D078B6">
        <w:rPr>
          <w:rFonts w:ascii="Times New Roman" w:hAnsi="Times New Roman" w:cs="Times New Roman"/>
          <w:lang w:val="en-US"/>
        </w:rPr>
        <w:t>, 92</w:t>
      </w:r>
      <w:r w:rsidR="00D078B6" w:rsidRPr="007D7DB6">
        <w:rPr>
          <w:rFonts w:ascii="Times New Roman" w:hAnsi="Times New Roman" w:cs="Times New Roman"/>
          <w:lang w:val="en-US"/>
        </w:rPr>
        <w:t>(3): 503-526.</w:t>
      </w:r>
    </w:p>
    <w:p w:rsidR="0053763B" w:rsidRDefault="0053763B" w:rsidP="00D078B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Pr="007D7DB6">
        <w:rPr>
          <w:rFonts w:ascii="Times New Roman" w:hAnsi="Times New Roman" w:cs="Times New Roman"/>
          <w:lang w:val="en-US"/>
        </w:rPr>
        <w:t xml:space="preserve">Zhu, Xiaodong. 2012. “Understanding China’s Growth: Past, Present and Future.” </w:t>
      </w:r>
      <w:r w:rsidRPr="007D7DB6">
        <w:rPr>
          <w:rFonts w:ascii="Times New Roman" w:hAnsi="Times New Roman" w:cs="Times New Roman"/>
          <w:i/>
          <w:lang w:val="en-US"/>
        </w:rPr>
        <w:t>Journal</w:t>
      </w:r>
      <w:r w:rsidR="00121472">
        <w:rPr>
          <w:rFonts w:ascii="Times New Roman" w:hAnsi="Times New Roman" w:cs="Times New Roman" w:hint="eastAsia"/>
          <w:i/>
          <w:lang w:val="en-US"/>
        </w:rPr>
        <w:t xml:space="preserve"> </w:t>
      </w:r>
      <w:r w:rsidR="000A3C2F" w:rsidRPr="007D7DB6">
        <w:rPr>
          <w:rFonts w:ascii="Times New Roman" w:hAnsi="Times New Roman" w:cs="Times New Roman"/>
          <w:i/>
          <w:lang w:val="en-US"/>
        </w:rPr>
        <w:t>of Economic Perspectives</w:t>
      </w:r>
      <w:r w:rsidR="000A3C2F" w:rsidRPr="007D7DB6">
        <w:rPr>
          <w:rFonts w:ascii="Times New Roman" w:hAnsi="Times New Roman" w:cs="Times New Roman"/>
          <w:lang w:val="en-US"/>
        </w:rPr>
        <w:t xml:space="preserve">, </w:t>
      </w:r>
      <w:r w:rsidR="000A3C2F">
        <w:rPr>
          <w:rFonts w:ascii="Times New Roman" w:hAnsi="Times New Roman" w:cs="Times New Roman"/>
          <w:lang w:val="en-US"/>
        </w:rPr>
        <w:t>26</w:t>
      </w:r>
      <w:r w:rsidR="000A3C2F" w:rsidRPr="007D7DB6">
        <w:rPr>
          <w:rFonts w:ascii="Times New Roman" w:hAnsi="Times New Roman" w:cs="Times New Roman"/>
          <w:lang w:val="en-US"/>
        </w:rPr>
        <w:t>(4): 103-124.</w:t>
      </w:r>
    </w:p>
    <w:p w:rsidR="00D078B6" w:rsidRPr="00D078B6" w:rsidRDefault="00D078B6" w:rsidP="00D078B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Ventura, Jaume. 1997. “Growth and Interdependence,” </w:t>
      </w:r>
      <w:r w:rsidRPr="00D53736">
        <w:rPr>
          <w:rFonts w:ascii="Times New Roman" w:hAnsi="Times New Roman" w:cs="Times New Roman"/>
          <w:i/>
          <w:lang w:val="en-US"/>
        </w:rPr>
        <w:t>Quarterly Journal of Economics</w:t>
      </w:r>
      <w:r>
        <w:rPr>
          <w:rFonts w:ascii="Times New Roman" w:hAnsi="Times New Roman" w:cs="Times New Roman"/>
          <w:lang w:val="en-US"/>
        </w:rPr>
        <w:t>, 112(1): 57-84.</w:t>
      </w:r>
    </w:p>
    <w:p w:rsidR="0053763B" w:rsidRPr="000A3C2F" w:rsidRDefault="00F43CE2" w:rsidP="000A3C2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 w:rsidRPr="007D7DB6">
        <w:rPr>
          <w:rFonts w:ascii="Times New Roman" w:hAnsi="Times New Roman" w:cs="Times New Roman"/>
          <w:lang w:val="en-US"/>
        </w:rPr>
        <w:t xml:space="preserve">Neiman, Brent and John Fernald. 2011. “Growth Accounting with Misallocation: Or, Doing Less with More in Singapore,” </w:t>
      </w:r>
      <w:r w:rsidRPr="007D7DB6">
        <w:rPr>
          <w:rFonts w:ascii="Times New Roman" w:hAnsi="Times New Roman" w:cs="Times New Roman"/>
          <w:i/>
          <w:lang w:val="en-US"/>
        </w:rPr>
        <w:t>American Economic Journal: Macroeconomics</w:t>
      </w:r>
      <w:r w:rsidR="007B2EF1">
        <w:rPr>
          <w:rFonts w:ascii="Times New Roman" w:hAnsi="Times New Roman" w:cs="Times New Roman"/>
          <w:lang w:val="en-US"/>
        </w:rPr>
        <w:t>, 3</w:t>
      </w:r>
      <w:r w:rsidRPr="007D7DB6">
        <w:rPr>
          <w:rFonts w:ascii="Times New Roman" w:hAnsi="Times New Roman" w:cs="Times New Roman"/>
          <w:lang w:val="en-US"/>
        </w:rPr>
        <w:t>(2): 29-74.</w:t>
      </w:r>
    </w:p>
    <w:p w:rsidR="0053763B" w:rsidRPr="007D7DB6" w:rsidRDefault="0053763B" w:rsidP="005376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Hayashi, Fumio and Edward C. Prescott. 2002. “The 1990s in Japan: A Lost Decade,” </w:t>
      </w:r>
      <w:r w:rsidRPr="007A4C70">
        <w:rPr>
          <w:rFonts w:ascii="Times New Roman" w:hAnsi="Times New Roman" w:cs="Times New Roman"/>
          <w:i/>
          <w:lang w:val="en-US"/>
        </w:rPr>
        <w:t>Review of Economic Dynamics</w:t>
      </w:r>
      <w:r>
        <w:rPr>
          <w:rFonts w:ascii="Times New Roman" w:hAnsi="Times New Roman" w:cs="Times New Roman"/>
          <w:lang w:val="en-US"/>
        </w:rPr>
        <w:t>, 5: 206-235.</w:t>
      </w:r>
    </w:p>
    <w:p w:rsidR="0053763B" w:rsidRPr="0053763B" w:rsidRDefault="0053763B" w:rsidP="0053763B">
      <w:pPr>
        <w:pStyle w:val="a3"/>
        <w:spacing w:after="0"/>
        <w:ind w:left="1068"/>
        <w:rPr>
          <w:rFonts w:ascii="Times New Roman" w:hAnsi="Times New Roman" w:cs="Times New Roman"/>
          <w:lang w:val="en-US"/>
        </w:rPr>
      </w:pPr>
    </w:p>
    <w:p w:rsidR="00EC20B3" w:rsidRPr="00EC20B3" w:rsidRDefault="00EC20B3" w:rsidP="00EC20B3">
      <w:pPr>
        <w:pStyle w:val="a3"/>
        <w:spacing w:after="0"/>
        <w:ind w:left="1068"/>
        <w:rPr>
          <w:rFonts w:ascii="Times New Roman" w:hAnsi="Times New Roman" w:cs="Times New Roman"/>
          <w:lang w:val="en-US"/>
        </w:rPr>
      </w:pPr>
    </w:p>
    <w:p w:rsidR="00BE52BA" w:rsidRPr="007D7DB6" w:rsidRDefault="00BE52BA" w:rsidP="00BE52BA">
      <w:pPr>
        <w:pStyle w:val="a3"/>
        <w:numPr>
          <w:ilvl w:val="0"/>
          <w:numId w:val="28"/>
        </w:numPr>
        <w:spacing w:before="120"/>
        <w:rPr>
          <w:rFonts w:ascii="Times New Roman" w:hAnsi="Times New Roman" w:cs="Times New Roman"/>
          <w:u w:val="single"/>
          <w:lang w:val="en-US"/>
        </w:rPr>
      </w:pPr>
      <w:r w:rsidRPr="007D7DB6">
        <w:rPr>
          <w:rFonts w:ascii="Times New Roman" w:hAnsi="Times New Roman" w:cs="Times New Roman"/>
          <w:u w:val="single"/>
          <w:lang w:val="en-US"/>
        </w:rPr>
        <w:lastRenderedPageBreak/>
        <w:t>Level Accounting</w:t>
      </w:r>
      <w:r w:rsidR="00705916">
        <w:rPr>
          <w:rFonts w:ascii="Times New Roman" w:hAnsi="Times New Roman" w:cs="Times New Roman"/>
          <w:u w:val="single"/>
          <w:lang w:val="en-US"/>
        </w:rPr>
        <w:t xml:space="preserve"> </w:t>
      </w:r>
    </w:p>
    <w:p w:rsidR="00BE52BA" w:rsidRPr="007D7DB6" w:rsidRDefault="00BE52BA" w:rsidP="00BE52BA">
      <w:pPr>
        <w:pStyle w:val="a3"/>
        <w:spacing w:after="0"/>
        <w:ind w:left="1068"/>
        <w:rPr>
          <w:rFonts w:ascii="Times New Roman" w:hAnsi="Times New Roman" w:cs="Times New Roman"/>
          <w:lang w:val="en-US"/>
        </w:rPr>
      </w:pPr>
    </w:p>
    <w:p w:rsidR="0053763B" w:rsidRDefault="000A3C2F" w:rsidP="00BE52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705916">
        <w:rPr>
          <w:rFonts w:ascii="Times New Roman" w:hAnsi="Times New Roman" w:cs="Times New Roman"/>
          <w:lang w:val="en-US"/>
        </w:rPr>
        <w:t>Lecture Note on Development Accounting</w:t>
      </w:r>
    </w:p>
    <w:p w:rsidR="00BE52BA" w:rsidRPr="007D7DB6" w:rsidRDefault="000A3C2F" w:rsidP="00BE52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BE52BA" w:rsidRPr="007D7DB6">
        <w:rPr>
          <w:rFonts w:ascii="Times New Roman" w:hAnsi="Times New Roman" w:cs="Times New Roman"/>
          <w:lang w:val="en-US"/>
        </w:rPr>
        <w:t xml:space="preserve">Mankiw, N. Gregory, David Romer, and David N. Weil. 1992. “A Contribution to the Empirics of Economic Growth,” </w:t>
      </w:r>
      <w:r w:rsidR="00BE52BA" w:rsidRPr="007D7DB6">
        <w:rPr>
          <w:rFonts w:ascii="Times New Roman" w:hAnsi="Times New Roman" w:cs="Times New Roman"/>
          <w:i/>
          <w:lang w:val="en-US"/>
        </w:rPr>
        <w:t>Quarterly Journal of Economics</w:t>
      </w:r>
      <w:r w:rsidR="007B2EF1">
        <w:rPr>
          <w:rFonts w:ascii="Times New Roman" w:hAnsi="Times New Roman" w:cs="Times New Roman"/>
          <w:lang w:val="en-US"/>
        </w:rPr>
        <w:t>, 107</w:t>
      </w:r>
      <w:r w:rsidR="00BE52BA" w:rsidRPr="007D7DB6">
        <w:rPr>
          <w:rFonts w:ascii="Times New Roman" w:hAnsi="Times New Roman" w:cs="Times New Roman"/>
          <w:lang w:val="en-US"/>
        </w:rPr>
        <w:t>(2): 407-37.</w:t>
      </w:r>
    </w:p>
    <w:p w:rsidR="00330110" w:rsidRPr="00330110" w:rsidRDefault="000A3C2F" w:rsidP="0033011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lang w:val="en-US"/>
        </w:rPr>
        <w:t>*</w:t>
      </w:r>
      <w:r w:rsidR="00330110" w:rsidRPr="007D7DB6">
        <w:rPr>
          <w:rFonts w:ascii="Times New Roman" w:hAnsi="Times New Roman" w:cs="Times New Roman"/>
          <w:bCs/>
          <w:lang w:val="en-US"/>
        </w:rPr>
        <w:t>Jones, Charles I. 2016 “</w:t>
      </w:r>
      <w:hyperlink r:id="rId13" w:history="1">
        <w:r w:rsidR="00330110" w:rsidRPr="007D7DB6">
          <w:rPr>
            <w:rStyle w:val="a6"/>
            <w:rFonts w:ascii="Times New Roman" w:hAnsi="Times New Roman" w:cs="Times New Roman"/>
            <w:bCs/>
            <w:lang w:val="en-US"/>
          </w:rPr>
          <w:t>The Facts of Economic Growth</w:t>
        </w:r>
      </w:hyperlink>
      <w:r w:rsidR="00330110" w:rsidRPr="007D7DB6">
        <w:rPr>
          <w:rFonts w:ascii="Times New Roman" w:hAnsi="Times New Roman" w:cs="Times New Roman"/>
          <w:bCs/>
          <w:lang w:val="en-US"/>
        </w:rPr>
        <w:t xml:space="preserve">” </w:t>
      </w:r>
      <w:r w:rsidR="00330110" w:rsidRPr="007D7DB6">
        <w:rPr>
          <w:rFonts w:ascii="Times New Roman" w:hAnsi="Times New Roman" w:cs="Times New Roman"/>
          <w:bCs/>
          <w:i/>
          <w:lang w:val="en-US"/>
        </w:rPr>
        <w:t>Handbook of Economic Growth</w:t>
      </w:r>
      <w:r w:rsidR="008C54F0">
        <w:rPr>
          <w:rFonts w:ascii="Times New Roman" w:hAnsi="Times New Roman" w:cs="Times New Roman"/>
          <w:bCs/>
          <w:lang w:val="en-US"/>
        </w:rPr>
        <w:t xml:space="preserve">, Section </w:t>
      </w:r>
      <w:r w:rsidR="00330110">
        <w:rPr>
          <w:rFonts w:ascii="Times New Roman" w:hAnsi="Times New Roman" w:cs="Times New Roman"/>
          <w:bCs/>
          <w:lang w:val="en-US"/>
        </w:rPr>
        <w:t>4.</w:t>
      </w:r>
      <w:r w:rsidR="008C54F0">
        <w:rPr>
          <w:rFonts w:ascii="Times New Roman" w:hAnsi="Times New Roman" w:cs="Times New Roman"/>
          <w:bCs/>
          <w:lang w:val="en-US"/>
        </w:rPr>
        <w:t>4-4.5</w:t>
      </w:r>
    </w:p>
    <w:p w:rsidR="00BE52BA" w:rsidRDefault="000A3C2F" w:rsidP="00BE52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BE52BA" w:rsidRPr="007D7DB6">
        <w:rPr>
          <w:rFonts w:ascii="Times New Roman" w:hAnsi="Times New Roman" w:cs="Times New Roman"/>
          <w:lang w:val="en-US"/>
        </w:rPr>
        <w:t xml:space="preserve">Hsieh, Chang-Tai and Pete Klenow. 2010. “Development Accounting.” </w:t>
      </w:r>
      <w:r w:rsidR="00BE52BA" w:rsidRPr="007D7DB6">
        <w:rPr>
          <w:rFonts w:ascii="Times New Roman" w:hAnsi="Times New Roman" w:cs="Times New Roman"/>
          <w:i/>
          <w:lang w:val="en-US"/>
        </w:rPr>
        <w:t>American Economic Journal: Macroeconomics</w:t>
      </w:r>
      <w:r w:rsidR="00BE52BA" w:rsidRPr="007D7DB6">
        <w:rPr>
          <w:rFonts w:ascii="Times New Roman" w:hAnsi="Times New Roman" w:cs="Times New Roman"/>
          <w:lang w:val="en-US"/>
        </w:rPr>
        <w:t xml:space="preserve">, 2(1): 207-223. </w:t>
      </w:r>
    </w:p>
    <w:p w:rsidR="00911FD7" w:rsidRDefault="00911FD7" w:rsidP="00BE52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Jones, Benjamin. 2014. “Human Capital Stock: A Generalized Approach.” </w:t>
      </w:r>
      <w:r w:rsidRPr="0053763B">
        <w:rPr>
          <w:rFonts w:ascii="Times New Roman" w:hAnsi="Times New Roman" w:cs="Times New Roman"/>
          <w:i/>
          <w:lang w:val="en-US"/>
        </w:rPr>
        <w:t>American Economic Review</w:t>
      </w:r>
      <w:r>
        <w:rPr>
          <w:rFonts w:ascii="Times New Roman" w:hAnsi="Times New Roman" w:cs="Times New Roman"/>
          <w:lang w:val="en-US"/>
        </w:rPr>
        <w:t xml:space="preserve">, 104(1): </w:t>
      </w:r>
      <w:r w:rsidR="007B2EF1">
        <w:rPr>
          <w:rFonts w:ascii="Times New Roman" w:hAnsi="Times New Roman" w:cs="Times New Roman"/>
          <w:lang w:val="en-US"/>
        </w:rPr>
        <w:t>3752-3777.</w:t>
      </w:r>
    </w:p>
    <w:p w:rsidR="008C54F0" w:rsidRPr="007D7DB6" w:rsidRDefault="009024EC" w:rsidP="00BE52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Hendricks, Lutz and Todd Schoellman. 2018. “Human Capital and Development Accounting: New Evidence from Wage Gains at Migration,” </w:t>
      </w:r>
      <w:r w:rsidRPr="009024EC">
        <w:rPr>
          <w:rFonts w:ascii="Times New Roman" w:hAnsi="Times New Roman" w:cs="Times New Roman"/>
          <w:i/>
          <w:lang w:val="en-US"/>
        </w:rPr>
        <w:t>Quarterly Journal of Economics</w:t>
      </w:r>
      <w:r w:rsidR="007B2EF1">
        <w:rPr>
          <w:rFonts w:ascii="Times New Roman" w:hAnsi="Times New Roman" w:cs="Times New Roman"/>
          <w:lang w:val="en-US"/>
        </w:rPr>
        <w:t>, 133</w:t>
      </w:r>
      <w:r>
        <w:rPr>
          <w:rFonts w:ascii="Times New Roman" w:hAnsi="Times New Roman" w:cs="Times New Roman"/>
          <w:lang w:val="en-US"/>
        </w:rPr>
        <w:t>(2): 665-700.</w:t>
      </w:r>
    </w:p>
    <w:p w:rsidR="00EC20B3" w:rsidRPr="007D7DB6" w:rsidRDefault="00EC20B3" w:rsidP="009A623D">
      <w:pPr>
        <w:overflowPunct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E6576E" w:rsidRPr="007D7DB6" w:rsidRDefault="00593D71" w:rsidP="00593D71">
      <w:pPr>
        <w:pStyle w:val="a3"/>
        <w:numPr>
          <w:ilvl w:val="0"/>
          <w:numId w:val="28"/>
        </w:numPr>
        <w:spacing w:before="120"/>
        <w:rPr>
          <w:rFonts w:ascii="Times New Roman" w:hAnsi="Times New Roman" w:cs="Times New Roman"/>
          <w:u w:val="single"/>
          <w:lang w:val="en-US"/>
        </w:rPr>
      </w:pPr>
      <w:r w:rsidRPr="007D7DB6">
        <w:rPr>
          <w:rFonts w:ascii="Times New Roman" w:hAnsi="Times New Roman" w:cs="Times New Roman"/>
          <w:u w:val="single"/>
          <w:lang w:val="en-US"/>
        </w:rPr>
        <w:t>Models of S</w:t>
      </w:r>
      <w:r w:rsidR="00836635" w:rsidRPr="007D7DB6">
        <w:rPr>
          <w:rFonts w:ascii="Times New Roman" w:hAnsi="Times New Roman" w:cs="Times New Roman"/>
          <w:u w:val="single"/>
          <w:lang w:val="en-US"/>
        </w:rPr>
        <w:t>tructural Change</w:t>
      </w:r>
      <w:r w:rsidR="00EA465A">
        <w:rPr>
          <w:rFonts w:ascii="Times New Roman" w:hAnsi="Times New Roman" w:cs="Times New Roman" w:hint="eastAsia"/>
          <w:u w:val="single"/>
          <w:lang w:val="en-US"/>
        </w:rPr>
        <w:t xml:space="preserve"> </w:t>
      </w:r>
    </w:p>
    <w:p w:rsidR="000A3C2F" w:rsidRDefault="000A3C2F" w:rsidP="004F6313">
      <w:pPr>
        <w:numPr>
          <w:ilvl w:val="0"/>
          <w:numId w:val="17"/>
        </w:numPr>
        <w:spacing w:before="120"/>
        <w:ind w:left="1066" w:hanging="357"/>
        <w:rPr>
          <w:sz w:val="22"/>
          <w:szCs w:val="22"/>
        </w:rPr>
      </w:pPr>
      <w:r>
        <w:rPr>
          <w:sz w:val="22"/>
          <w:szCs w:val="22"/>
        </w:rPr>
        <w:t>*</w:t>
      </w:r>
      <w:r w:rsidR="00705916">
        <w:rPr>
          <w:sz w:val="22"/>
          <w:szCs w:val="22"/>
        </w:rPr>
        <w:t>Lecture Note Structural Change</w:t>
      </w:r>
    </w:p>
    <w:p w:rsidR="00382A78" w:rsidRPr="007D7DB6" w:rsidRDefault="000A3C2F" w:rsidP="004F6313">
      <w:pPr>
        <w:numPr>
          <w:ilvl w:val="0"/>
          <w:numId w:val="17"/>
        </w:numPr>
        <w:spacing w:before="120"/>
        <w:ind w:left="1066" w:hanging="357"/>
        <w:rPr>
          <w:sz w:val="22"/>
          <w:szCs w:val="22"/>
        </w:rPr>
      </w:pPr>
      <w:r>
        <w:rPr>
          <w:sz w:val="22"/>
          <w:szCs w:val="22"/>
        </w:rPr>
        <w:t>*</w:t>
      </w:r>
      <w:r w:rsidR="00382A78" w:rsidRPr="007D7DB6">
        <w:rPr>
          <w:sz w:val="22"/>
          <w:szCs w:val="22"/>
        </w:rPr>
        <w:t xml:space="preserve">Herrendorf, </w:t>
      </w:r>
      <w:r w:rsidR="006B33A4" w:rsidRPr="007D7DB6">
        <w:rPr>
          <w:sz w:val="22"/>
          <w:szCs w:val="22"/>
        </w:rPr>
        <w:t xml:space="preserve">Berthold, </w:t>
      </w:r>
      <w:r w:rsidR="00382A78" w:rsidRPr="007D7DB6">
        <w:rPr>
          <w:sz w:val="22"/>
          <w:szCs w:val="22"/>
        </w:rPr>
        <w:t>Richard Rogerson</w:t>
      </w:r>
      <w:r w:rsidR="006B33A4" w:rsidRPr="007D7DB6">
        <w:rPr>
          <w:sz w:val="22"/>
          <w:szCs w:val="22"/>
        </w:rPr>
        <w:t>,</w:t>
      </w:r>
      <w:r w:rsidR="00382A78" w:rsidRPr="007D7DB6">
        <w:rPr>
          <w:sz w:val="22"/>
          <w:szCs w:val="22"/>
        </w:rPr>
        <w:t xml:space="preserve"> and AkosValentinyi</w:t>
      </w:r>
      <w:r w:rsidR="006B33A4" w:rsidRPr="007D7DB6">
        <w:rPr>
          <w:sz w:val="22"/>
          <w:szCs w:val="22"/>
        </w:rPr>
        <w:t>. 2014.</w:t>
      </w:r>
      <w:r w:rsidR="00382A78" w:rsidRPr="007D7DB6">
        <w:rPr>
          <w:sz w:val="22"/>
          <w:szCs w:val="22"/>
        </w:rPr>
        <w:t xml:space="preserve"> “</w:t>
      </w:r>
      <w:hyperlink r:id="rId14" w:history="1">
        <w:r w:rsidR="00382A78" w:rsidRPr="007D7DB6">
          <w:rPr>
            <w:rStyle w:val="a6"/>
            <w:sz w:val="22"/>
            <w:szCs w:val="22"/>
          </w:rPr>
          <w:t>Growth and Structural Transformation</w:t>
        </w:r>
      </w:hyperlink>
      <w:r w:rsidR="00951E29" w:rsidRPr="007D7DB6">
        <w:rPr>
          <w:sz w:val="22"/>
          <w:szCs w:val="22"/>
        </w:rPr>
        <w:t>.”</w:t>
      </w:r>
      <w:r w:rsidR="00382A78" w:rsidRPr="007D7DB6">
        <w:rPr>
          <w:sz w:val="22"/>
          <w:szCs w:val="22"/>
        </w:rPr>
        <w:t xml:space="preserve"> in </w:t>
      </w:r>
      <w:r w:rsidR="00382A78" w:rsidRPr="007D7DB6">
        <w:rPr>
          <w:i/>
          <w:sz w:val="22"/>
          <w:szCs w:val="22"/>
        </w:rPr>
        <w:t>Handbook of Economic Growth</w:t>
      </w:r>
      <w:r w:rsidR="006B33A4" w:rsidRPr="007D7DB6">
        <w:rPr>
          <w:sz w:val="22"/>
          <w:szCs w:val="22"/>
        </w:rPr>
        <w:t>.</w:t>
      </w:r>
    </w:p>
    <w:p w:rsidR="00B67598" w:rsidRDefault="000A3C2F" w:rsidP="00F575FE">
      <w:pPr>
        <w:numPr>
          <w:ilvl w:val="0"/>
          <w:numId w:val="17"/>
        </w:numPr>
        <w:snapToGrid w:val="0"/>
        <w:ind w:left="1066" w:hanging="357"/>
        <w:rPr>
          <w:sz w:val="22"/>
          <w:szCs w:val="22"/>
        </w:rPr>
      </w:pPr>
      <w:r>
        <w:rPr>
          <w:sz w:val="22"/>
          <w:szCs w:val="22"/>
          <w:lang w:val="it-IT"/>
        </w:rPr>
        <w:t>*</w:t>
      </w:r>
      <w:r w:rsidR="00B67598" w:rsidRPr="007D7DB6">
        <w:rPr>
          <w:sz w:val="22"/>
          <w:szCs w:val="22"/>
          <w:lang w:val="it-IT"/>
        </w:rPr>
        <w:t xml:space="preserve">Comin, Diego, DanialLashkari, and Marti Mestieri. </w:t>
      </w:r>
      <w:r w:rsidR="00B67598" w:rsidRPr="007D7DB6">
        <w:rPr>
          <w:sz w:val="22"/>
          <w:szCs w:val="22"/>
        </w:rPr>
        <w:t>2018 “</w:t>
      </w:r>
      <w:hyperlink r:id="rId15" w:history="1">
        <w:r w:rsidR="00B67598" w:rsidRPr="007D7DB6">
          <w:rPr>
            <w:rStyle w:val="a6"/>
            <w:sz w:val="22"/>
            <w:szCs w:val="22"/>
          </w:rPr>
          <w:t>Structural Change with Long-run Income and Price Effects</w:t>
        </w:r>
      </w:hyperlink>
      <w:r w:rsidR="00D53736">
        <w:rPr>
          <w:sz w:val="22"/>
          <w:szCs w:val="22"/>
        </w:rPr>
        <w:t>,” unpublished working p</w:t>
      </w:r>
      <w:r w:rsidR="00B67598" w:rsidRPr="007D7DB6">
        <w:rPr>
          <w:sz w:val="22"/>
          <w:szCs w:val="22"/>
        </w:rPr>
        <w:t>aper.</w:t>
      </w:r>
    </w:p>
    <w:p w:rsidR="000A3C2F" w:rsidRPr="000A3C2F" w:rsidRDefault="000A3C2F" w:rsidP="000A3C2F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*Boppart, Timo. 2014.“</w:t>
      </w:r>
      <w:hyperlink r:id="rId16" w:history="1">
        <w:r w:rsidRPr="00B42CAE">
          <w:rPr>
            <w:rStyle w:val="a6"/>
            <w:sz w:val="22"/>
            <w:szCs w:val="22"/>
          </w:rPr>
          <w:t>Structural Change and the Kaldor Facts in a Growth Model with Relative Price Effects and Non-Gorman Preferences</w:t>
        </w:r>
      </w:hyperlink>
      <w:r>
        <w:rPr>
          <w:sz w:val="22"/>
          <w:szCs w:val="22"/>
        </w:rPr>
        <w:t xml:space="preserve">.” </w:t>
      </w:r>
      <w:r w:rsidRPr="00B42CAE">
        <w:rPr>
          <w:i/>
          <w:sz w:val="22"/>
          <w:szCs w:val="22"/>
        </w:rPr>
        <w:t>Econometrica</w:t>
      </w:r>
      <w:r>
        <w:rPr>
          <w:sz w:val="22"/>
          <w:szCs w:val="22"/>
        </w:rPr>
        <w:t xml:space="preserve"> 82 (6).</w:t>
      </w:r>
    </w:p>
    <w:p w:rsidR="000A3C2F" w:rsidRPr="000A3C2F" w:rsidRDefault="00957927" w:rsidP="000A3C2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7D7DB6">
        <w:rPr>
          <w:rFonts w:ascii="Times New Roman" w:hAnsi="Times New Roman" w:cs="Times New Roman"/>
          <w:lang w:val="en-US"/>
        </w:rPr>
        <w:t>Alder, Simon, Timo Boppart, and Andreas Muller. 2019</w:t>
      </w:r>
      <w:r w:rsidR="000D6A1A" w:rsidRPr="007D7DB6">
        <w:rPr>
          <w:rFonts w:ascii="Times New Roman" w:hAnsi="Times New Roman" w:cs="Times New Roman"/>
          <w:lang w:val="en-US"/>
        </w:rPr>
        <w:t>. “</w:t>
      </w:r>
      <w:hyperlink r:id="rId17" w:history="1">
        <w:r w:rsidRPr="007D7DB6">
          <w:rPr>
            <w:rStyle w:val="a6"/>
            <w:rFonts w:ascii="Times New Roman" w:hAnsi="Times New Roman" w:cs="Times New Roman"/>
            <w:lang w:val="en-US"/>
          </w:rPr>
          <w:t>A Theory of Structural Change That Can Fit the Data</w:t>
        </w:r>
      </w:hyperlink>
      <w:r w:rsidRPr="007D7DB6">
        <w:rPr>
          <w:rFonts w:ascii="Times New Roman" w:hAnsi="Times New Roman" w:cs="Times New Roman"/>
          <w:lang w:val="en-US"/>
        </w:rPr>
        <w:t xml:space="preserve">,” </w:t>
      </w:r>
      <w:r w:rsidR="00D53736">
        <w:rPr>
          <w:rFonts w:ascii="Times New Roman" w:hAnsi="Times New Roman" w:cs="Times New Roman"/>
          <w:lang w:val="en-US"/>
        </w:rPr>
        <w:t>unpublished working p</w:t>
      </w:r>
      <w:r w:rsidR="000D6A1A" w:rsidRPr="007D7DB6">
        <w:rPr>
          <w:rFonts w:ascii="Times New Roman" w:hAnsi="Times New Roman" w:cs="Times New Roman"/>
          <w:lang w:val="en-US"/>
        </w:rPr>
        <w:t>aper.</w:t>
      </w:r>
    </w:p>
    <w:p w:rsidR="00D078B6" w:rsidRDefault="00D078B6" w:rsidP="00D078B6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Baumol, William J. 1967. “Macroeconomics of Unbalanced Growth: The Anatomy of Urban Crisis.” </w:t>
      </w:r>
      <w:r w:rsidRPr="001559EF">
        <w:rPr>
          <w:i/>
          <w:sz w:val="22"/>
          <w:szCs w:val="22"/>
        </w:rPr>
        <w:t>American Economic Review</w:t>
      </w:r>
      <w:r>
        <w:rPr>
          <w:sz w:val="22"/>
          <w:szCs w:val="22"/>
        </w:rPr>
        <w:t xml:space="preserve"> 57: 415-426.</w:t>
      </w:r>
    </w:p>
    <w:p w:rsidR="000A3C2F" w:rsidRPr="00B42CAE" w:rsidRDefault="000A3C2F" w:rsidP="000A3C2F">
      <w:pPr>
        <w:numPr>
          <w:ilvl w:val="0"/>
          <w:numId w:val="17"/>
        </w:numPr>
        <w:rPr>
          <w:sz w:val="22"/>
          <w:szCs w:val="22"/>
        </w:rPr>
      </w:pPr>
      <w:r w:rsidRPr="00B42CAE">
        <w:rPr>
          <w:sz w:val="22"/>
          <w:szCs w:val="22"/>
        </w:rPr>
        <w:t>Ko</w:t>
      </w:r>
      <w:r>
        <w:rPr>
          <w:sz w:val="22"/>
          <w:szCs w:val="22"/>
        </w:rPr>
        <w:t xml:space="preserve">ngsamult, Piyabha, Sergio Rebelo, and DanyangXie. 2001. </w:t>
      </w:r>
      <w:r w:rsidRPr="00B42CAE">
        <w:rPr>
          <w:sz w:val="22"/>
          <w:szCs w:val="22"/>
        </w:rPr>
        <w:t>“Beyond Balanced Growth</w:t>
      </w:r>
      <w:r>
        <w:rPr>
          <w:sz w:val="22"/>
          <w:szCs w:val="22"/>
        </w:rPr>
        <w:t>.”</w:t>
      </w:r>
      <w:r w:rsidRPr="00B42CAE">
        <w:rPr>
          <w:i/>
          <w:sz w:val="22"/>
          <w:szCs w:val="22"/>
        </w:rPr>
        <w:t>Review of Economic Studies</w:t>
      </w:r>
      <w:r>
        <w:rPr>
          <w:sz w:val="22"/>
          <w:szCs w:val="22"/>
        </w:rPr>
        <w:t xml:space="preserve"> 68 (4): 869-882.</w:t>
      </w:r>
    </w:p>
    <w:p w:rsidR="000A3C2F" w:rsidRPr="00B42CAE" w:rsidRDefault="000A3C2F" w:rsidP="000A3C2F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Ngai, </w:t>
      </w:r>
      <w:r w:rsidRPr="00B42CAE">
        <w:rPr>
          <w:sz w:val="22"/>
          <w:szCs w:val="22"/>
        </w:rPr>
        <w:t xml:space="preserve">L. Rachel </w:t>
      </w:r>
      <w:r>
        <w:rPr>
          <w:sz w:val="22"/>
          <w:szCs w:val="22"/>
        </w:rPr>
        <w:t>and Christophe Pissarides.2007. “</w:t>
      </w:r>
      <w:r w:rsidRPr="00B42CAE">
        <w:rPr>
          <w:sz w:val="22"/>
          <w:szCs w:val="22"/>
        </w:rPr>
        <w:t xml:space="preserve">Structural Change in a Multi-Sector Model of Growth.” </w:t>
      </w:r>
      <w:r w:rsidRPr="00B42CAE">
        <w:rPr>
          <w:i/>
          <w:sz w:val="22"/>
          <w:szCs w:val="22"/>
        </w:rPr>
        <w:t>American Economic Review</w:t>
      </w:r>
      <w:r w:rsidRPr="00B42CAE">
        <w:rPr>
          <w:sz w:val="22"/>
          <w:szCs w:val="22"/>
        </w:rPr>
        <w:t xml:space="preserve"> 97</w:t>
      </w:r>
      <w:r>
        <w:rPr>
          <w:sz w:val="22"/>
          <w:szCs w:val="22"/>
        </w:rPr>
        <w:t xml:space="preserve"> (1): 429-443.</w:t>
      </w:r>
    </w:p>
    <w:p w:rsidR="000A3C2F" w:rsidRPr="000D6A1A" w:rsidRDefault="000A3C2F" w:rsidP="000A3C2F">
      <w:pPr>
        <w:numPr>
          <w:ilvl w:val="0"/>
          <w:numId w:val="17"/>
        </w:numPr>
        <w:rPr>
          <w:sz w:val="22"/>
          <w:szCs w:val="22"/>
        </w:rPr>
      </w:pPr>
      <w:r w:rsidRPr="00706C74">
        <w:rPr>
          <w:sz w:val="22"/>
          <w:szCs w:val="22"/>
          <w:lang w:val="it-IT"/>
        </w:rPr>
        <w:t xml:space="preserve">Acemoglu, Daron and Veronica Guerrieri. </w:t>
      </w:r>
      <w:r>
        <w:rPr>
          <w:sz w:val="22"/>
          <w:szCs w:val="22"/>
        </w:rPr>
        <w:t xml:space="preserve">2008. </w:t>
      </w:r>
      <w:r w:rsidRPr="00B42CAE">
        <w:rPr>
          <w:sz w:val="22"/>
          <w:szCs w:val="22"/>
        </w:rPr>
        <w:t>“Capital Deepening and Nonbalanced Economic Growth</w:t>
      </w:r>
      <w:r>
        <w:rPr>
          <w:sz w:val="22"/>
          <w:szCs w:val="22"/>
        </w:rPr>
        <w:t>.</w:t>
      </w:r>
      <w:r w:rsidRPr="00B42CAE">
        <w:rPr>
          <w:sz w:val="22"/>
          <w:szCs w:val="22"/>
        </w:rPr>
        <w:t xml:space="preserve">” </w:t>
      </w:r>
      <w:r w:rsidRPr="00B42CAE">
        <w:rPr>
          <w:i/>
          <w:sz w:val="22"/>
          <w:szCs w:val="22"/>
        </w:rPr>
        <w:t>Journal of Political Economy</w:t>
      </w:r>
      <w:r>
        <w:rPr>
          <w:sz w:val="22"/>
          <w:szCs w:val="22"/>
        </w:rPr>
        <w:t xml:space="preserve"> 116 (3): 567-498.</w:t>
      </w:r>
    </w:p>
    <w:p w:rsidR="000A3C2F" w:rsidRPr="00D078B6" w:rsidRDefault="000A3C2F" w:rsidP="000A3C2F">
      <w:pPr>
        <w:ind w:left="1068"/>
        <w:rPr>
          <w:sz w:val="22"/>
          <w:szCs w:val="22"/>
        </w:rPr>
      </w:pPr>
    </w:p>
    <w:p w:rsidR="00926CC7" w:rsidRPr="007D7DB6" w:rsidRDefault="00926CC7" w:rsidP="00706C74">
      <w:pPr>
        <w:snapToGrid w:val="0"/>
        <w:rPr>
          <w:sz w:val="22"/>
          <w:szCs w:val="22"/>
        </w:rPr>
      </w:pPr>
    </w:p>
    <w:p w:rsidR="00E6576E" w:rsidRPr="00AD546F" w:rsidRDefault="00D078B6" w:rsidP="00514804">
      <w:pPr>
        <w:pStyle w:val="a3"/>
        <w:numPr>
          <w:ilvl w:val="0"/>
          <w:numId w:val="28"/>
        </w:numPr>
        <w:snapToGrid w:val="0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Agricultural Productivity Gap</w:t>
      </w:r>
      <w:r w:rsidR="00705916">
        <w:rPr>
          <w:rFonts w:ascii="Times New Roman" w:hAnsi="Times New Roman" w:cs="Times New Roman"/>
          <w:u w:val="single"/>
          <w:lang w:val="en-US"/>
        </w:rPr>
        <w:t xml:space="preserve"> </w:t>
      </w:r>
    </w:p>
    <w:p w:rsidR="000A3C2F" w:rsidRPr="000A3C2F" w:rsidRDefault="000A3C2F" w:rsidP="004F6313">
      <w:pPr>
        <w:numPr>
          <w:ilvl w:val="0"/>
          <w:numId w:val="17"/>
        </w:numPr>
        <w:spacing w:before="120"/>
        <w:ind w:left="1066" w:hanging="357"/>
        <w:rPr>
          <w:sz w:val="22"/>
          <w:szCs w:val="22"/>
        </w:rPr>
      </w:pPr>
      <w:r>
        <w:rPr>
          <w:sz w:val="22"/>
          <w:szCs w:val="22"/>
        </w:rPr>
        <w:t>*</w:t>
      </w:r>
      <w:r w:rsidR="00705916">
        <w:rPr>
          <w:sz w:val="22"/>
          <w:szCs w:val="22"/>
        </w:rPr>
        <w:t>Lecture Note Agricultural Productivity Gap</w:t>
      </w:r>
    </w:p>
    <w:p w:rsidR="00736268" w:rsidRPr="007D7DB6" w:rsidRDefault="000A3C2F" w:rsidP="004F6313">
      <w:pPr>
        <w:numPr>
          <w:ilvl w:val="0"/>
          <w:numId w:val="17"/>
        </w:numPr>
        <w:spacing w:before="120"/>
        <w:ind w:left="1066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="00736268" w:rsidRPr="003F6949">
        <w:rPr>
          <w:color w:val="000000"/>
          <w:sz w:val="22"/>
          <w:szCs w:val="22"/>
        </w:rPr>
        <w:t xml:space="preserve">Restuccia, Diego, Dennis Tao Yang, and Xiaodong Zhu. 2008. “Agriculture and Aggregate Productivity: A Cross-Country Quantitative Analysis.” </w:t>
      </w:r>
      <w:r w:rsidR="00736268" w:rsidRPr="007D7DB6">
        <w:rPr>
          <w:i/>
          <w:color w:val="000000"/>
          <w:sz w:val="22"/>
          <w:szCs w:val="22"/>
        </w:rPr>
        <w:t>Journal of Monetary Economics</w:t>
      </w:r>
      <w:r w:rsidR="00A129CA" w:rsidRPr="007D7DB6">
        <w:rPr>
          <w:color w:val="000000"/>
          <w:sz w:val="22"/>
          <w:szCs w:val="22"/>
        </w:rPr>
        <w:t xml:space="preserve"> 55 (2): 234-250.</w:t>
      </w:r>
    </w:p>
    <w:p w:rsidR="00D078B6" w:rsidRDefault="000A3C2F" w:rsidP="00D01152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*</w:t>
      </w:r>
      <w:r w:rsidR="00D078B6" w:rsidRPr="007D7DB6">
        <w:rPr>
          <w:sz w:val="22"/>
          <w:szCs w:val="22"/>
        </w:rPr>
        <w:t xml:space="preserve">Gollin, Douglas, David Lagakos, and Michael Waugh. 2013. “The Agriculture Productivity Gap.” </w:t>
      </w:r>
      <w:r w:rsidR="00D078B6" w:rsidRPr="007D7DB6">
        <w:rPr>
          <w:i/>
          <w:sz w:val="22"/>
          <w:szCs w:val="22"/>
        </w:rPr>
        <w:t>Qua</w:t>
      </w:r>
      <w:r w:rsidR="00D078B6">
        <w:rPr>
          <w:i/>
          <w:sz w:val="22"/>
          <w:szCs w:val="22"/>
        </w:rPr>
        <w:t>r</w:t>
      </w:r>
      <w:r w:rsidR="00D078B6" w:rsidRPr="007D7DB6">
        <w:rPr>
          <w:i/>
          <w:sz w:val="22"/>
          <w:szCs w:val="22"/>
        </w:rPr>
        <w:t>terly Journal of Economics</w:t>
      </w:r>
      <w:r w:rsidR="00D078B6">
        <w:rPr>
          <w:sz w:val="22"/>
          <w:szCs w:val="22"/>
        </w:rPr>
        <w:t xml:space="preserve"> 129</w:t>
      </w:r>
      <w:r w:rsidR="00D078B6" w:rsidRPr="007D7DB6">
        <w:rPr>
          <w:sz w:val="22"/>
          <w:szCs w:val="22"/>
        </w:rPr>
        <w:t>(2): 939-993.</w:t>
      </w:r>
    </w:p>
    <w:p w:rsidR="000A3C2F" w:rsidRPr="000A3C2F" w:rsidRDefault="000A3C2F" w:rsidP="000A3C2F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*</w:t>
      </w:r>
      <w:r w:rsidR="00D01152" w:rsidRPr="007D7DB6">
        <w:rPr>
          <w:sz w:val="22"/>
          <w:szCs w:val="22"/>
        </w:rPr>
        <w:t xml:space="preserve">Lagakos, David, and Michael Waugh. 2013. “Selection, Agriculture, and Cross-Country Production Differences.” </w:t>
      </w:r>
      <w:r w:rsidR="00D01152" w:rsidRPr="007D7DB6">
        <w:rPr>
          <w:i/>
          <w:sz w:val="22"/>
          <w:szCs w:val="22"/>
        </w:rPr>
        <w:t>American Economic Review</w:t>
      </w:r>
      <w:r w:rsidR="00D53736">
        <w:rPr>
          <w:sz w:val="22"/>
          <w:szCs w:val="22"/>
        </w:rPr>
        <w:t xml:space="preserve"> 103</w:t>
      </w:r>
      <w:r w:rsidR="00D01152" w:rsidRPr="007D7DB6">
        <w:rPr>
          <w:sz w:val="22"/>
          <w:szCs w:val="22"/>
        </w:rPr>
        <w:t>(2): 948-80.</w:t>
      </w:r>
    </w:p>
    <w:p w:rsidR="00D01152" w:rsidRDefault="00D01152" w:rsidP="0069350F">
      <w:pPr>
        <w:numPr>
          <w:ilvl w:val="0"/>
          <w:numId w:val="17"/>
        </w:numPr>
        <w:rPr>
          <w:sz w:val="22"/>
          <w:szCs w:val="22"/>
        </w:rPr>
      </w:pPr>
      <w:r w:rsidRPr="007D7DB6">
        <w:rPr>
          <w:sz w:val="22"/>
          <w:szCs w:val="22"/>
        </w:rPr>
        <w:t>Hic</w:t>
      </w:r>
      <w:r w:rsidR="00801B62">
        <w:rPr>
          <w:sz w:val="22"/>
          <w:szCs w:val="22"/>
        </w:rPr>
        <w:t>k</w:t>
      </w:r>
      <w:r w:rsidRPr="007D7DB6">
        <w:rPr>
          <w:sz w:val="22"/>
          <w:szCs w:val="22"/>
        </w:rPr>
        <w:t>s, Joan Hamory, Marieke Kleemans, Nicholas Y. Li, and Edward Miquel. 2017. “Reevaluating Agricultural Productivity Gaps with Longitudinal Microdata.” NBER Working Paper 23253.</w:t>
      </w:r>
    </w:p>
    <w:p w:rsidR="00AD546F" w:rsidRPr="00AD546F" w:rsidRDefault="00AD546F" w:rsidP="00AD546F">
      <w:pPr>
        <w:ind w:left="1068"/>
        <w:rPr>
          <w:sz w:val="22"/>
          <w:szCs w:val="22"/>
        </w:rPr>
      </w:pPr>
    </w:p>
    <w:p w:rsidR="00AD546F" w:rsidRPr="00AD546F" w:rsidRDefault="00AD546F" w:rsidP="00AD546F">
      <w:pPr>
        <w:pStyle w:val="a3"/>
        <w:numPr>
          <w:ilvl w:val="0"/>
          <w:numId w:val="28"/>
        </w:numPr>
        <w:snapToGrid w:val="0"/>
        <w:rPr>
          <w:rFonts w:ascii="Times New Roman" w:hAnsi="Times New Roman" w:cs="Times New Roman"/>
          <w:u w:val="single"/>
          <w:lang w:val="en-US"/>
        </w:rPr>
      </w:pPr>
      <w:r w:rsidRPr="00AD546F">
        <w:rPr>
          <w:rFonts w:ascii="Times New Roman" w:hAnsi="Times New Roman" w:cs="Times New Roman"/>
          <w:u w:val="single"/>
          <w:lang w:val="en-US"/>
        </w:rPr>
        <w:t>Barriers to Structural Change</w:t>
      </w:r>
      <w:r>
        <w:rPr>
          <w:rFonts w:ascii="Times New Roman" w:hAnsi="Times New Roman" w:cs="Times New Roman"/>
          <w:u w:val="single"/>
          <w:lang w:val="en-US"/>
        </w:rPr>
        <w:t>: Time-series Analysis</w:t>
      </w:r>
      <w:r w:rsidR="00705916">
        <w:rPr>
          <w:rFonts w:ascii="Times New Roman" w:hAnsi="Times New Roman" w:cs="Times New Roman"/>
          <w:u w:val="single"/>
          <w:lang w:val="en-US"/>
        </w:rPr>
        <w:t xml:space="preserve"> </w:t>
      </w:r>
      <w:r w:rsidR="00EA465A">
        <w:rPr>
          <w:rFonts w:ascii="Times New Roman" w:hAnsi="Times New Roman" w:cs="Times New Roman" w:hint="eastAsia"/>
          <w:u w:val="single"/>
          <w:lang w:val="en-US"/>
        </w:rPr>
        <w:t xml:space="preserve"> </w:t>
      </w:r>
    </w:p>
    <w:p w:rsidR="00705916" w:rsidRDefault="00705916" w:rsidP="00AD546F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*Lecture Note on Barriers to Structural Change</w:t>
      </w:r>
    </w:p>
    <w:p w:rsidR="00AD546F" w:rsidRPr="000D6A1A" w:rsidRDefault="00AD546F" w:rsidP="00AD546F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*</w:t>
      </w:r>
      <w:r w:rsidRPr="00B42CAE">
        <w:rPr>
          <w:sz w:val="22"/>
          <w:szCs w:val="22"/>
        </w:rPr>
        <w:t>Caselli</w:t>
      </w:r>
      <w:r>
        <w:rPr>
          <w:sz w:val="22"/>
          <w:szCs w:val="22"/>
        </w:rPr>
        <w:t xml:space="preserve">, </w:t>
      </w:r>
      <w:r w:rsidRPr="00B42CAE">
        <w:rPr>
          <w:sz w:val="22"/>
          <w:szCs w:val="22"/>
        </w:rPr>
        <w:t xml:space="preserve">Francesco and John Coleman </w:t>
      </w:r>
      <w:r>
        <w:rPr>
          <w:sz w:val="22"/>
          <w:szCs w:val="22"/>
        </w:rPr>
        <w:t xml:space="preserve">2001. </w:t>
      </w:r>
      <w:r w:rsidRPr="00B42CAE">
        <w:rPr>
          <w:color w:val="000000"/>
          <w:sz w:val="22"/>
          <w:szCs w:val="22"/>
        </w:rPr>
        <w:t>“</w:t>
      </w:r>
      <w:hyperlink r:id="rId18" w:history="1">
        <w:r w:rsidRPr="00B42CAE">
          <w:rPr>
            <w:rStyle w:val="a6"/>
            <w:sz w:val="22"/>
            <w:szCs w:val="22"/>
          </w:rPr>
          <w:t>The U.S. Structural Transformation and Regional Convergence: A Reinterpretation</w:t>
        </w:r>
      </w:hyperlink>
      <w:r>
        <w:rPr>
          <w:rStyle w:val="a6"/>
          <w:sz w:val="22"/>
          <w:szCs w:val="22"/>
        </w:rPr>
        <w:t>.</w:t>
      </w:r>
      <w:r w:rsidRPr="00B42CAE">
        <w:rPr>
          <w:b/>
          <w:color w:val="000000"/>
          <w:sz w:val="22"/>
          <w:szCs w:val="22"/>
        </w:rPr>
        <w:t>”</w:t>
      </w:r>
      <w:r w:rsidRPr="00B42CAE">
        <w:rPr>
          <w:i/>
          <w:color w:val="000000"/>
          <w:sz w:val="22"/>
          <w:szCs w:val="22"/>
        </w:rPr>
        <w:t>Journal of Political Economy</w:t>
      </w:r>
      <w:r w:rsidR="00D53736">
        <w:rPr>
          <w:color w:val="000000"/>
          <w:sz w:val="22"/>
          <w:szCs w:val="22"/>
        </w:rPr>
        <w:t>109(3): 584-616.</w:t>
      </w:r>
    </w:p>
    <w:p w:rsidR="0053763B" w:rsidRDefault="00797598" w:rsidP="0053763B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53763B" w:rsidRPr="00B42CAE">
        <w:rPr>
          <w:rFonts w:ascii="Times New Roman" w:hAnsi="Times New Roman" w:cs="Times New Roman"/>
          <w:lang w:val="en-US"/>
        </w:rPr>
        <w:t>Young</w:t>
      </w:r>
      <w:r w:rsidR="0053763B">
        <w:rPr>
          <w:rFonts w:ascii="Times New Roman" w:hAnsi="Times New Roman" w:cs="Times New Roman"/>
          <w:lang w:val="en-US"/>
        </w:rPr>
        <w:t xml:space="preserve">, </w:t>
      </w:r>
      <w:r w:rsidR="0053763B" w:rsidRPr="00B42CAE">
        <w:rPr>
          <w:rFonts w:ascii="Times New Roman" w:hAnsi="Times New Roman" w:cs="Times New Roman"/>
          <w:lang w:val="en-US"/>
        </w:rPr>
        <w:t>Alwyn</w:t>
      </w:r>
      <w:r w:rsidR="0053763B">
        <w:rPr>
          <w:rFonts w:ascii="Times New Roman" w:hAnsi="Times New Roman" w:cs="Times New Roman"/>
          <w:lang w:val="en-US"/>
        </w:rPr>
        <w:t>. 2003.</w:t>
      </w:r>
      <w:r w:rsidR="0053763B" w:rsidRPr="00B42CAE">
        <w:rPr>
          <w:rFonts w:ascii="Times New Roman" w:hAnsi="Times New Roman" w:cs="Times New Roman"/>
          <w:lang w:val="en-US"/>
        </w:rPr>
        <w:t xml:space="preserve"> “Gold into Base Metals: Productivity Growth in the People’s Republic of China during the Reform Period.” </w:t>
      </w:r>
      <w:r w:rsidR="0053763B" w:rsidRPr="00B42CAE">
        <w:rPr>
          <w:rFonts w:ascii="Times New Roman" w:hAnsi="Times New Roman" w:cs="Times New Roman"/>
          <w:i/>
          <w:lang w:val="en-US"/>
        </w:rPr>
        <w:t>Journal of Political Economy</w:t>
      </w:r>
      <w:r w:rsidR="0053763B">
        <w:rPr>
          <w:rFonts w:ascii="Times New Roman" w:hAnsi="Times New Roman" w:cs="Times New Roman"/>
          <w:lang w:val="en-US"/>
        </w:rPr>
        <w:t>, 111 (6): 1220-1261.</w:t>
      </w:r>
    </w:p>
    <w:p w:rsidR="00D01C67" w:rsidRPr="00D01C67" w:rsidRDefault="00D01C67" w:rsidP="00D01C67">
      <w:pPr>
        <w:numPr>
          <w:ilvl w:val="0"/>
          <w:numId w:val="17"/>
        </w:numPr>
        <w:snapToGrid w:val="0"/>
        <w:ind w:left="1066" w:hanging="357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*</w:t>
      </w:r>
      <w:r w:rsidRPr="00B42CAE">
        <w:rPr>
          <w:rFonts w:eastAsia="Times New Roman"/>
          <w:sz w:val="22"/>
          <w:szCs w:val="22"/>
        </w:rPr>
        <w:t xml:space="preserve">Brandt, </w:t>
      </w:r>
      <w:r>
        <w:rPr>
          <w:rFonts w:eastAsia="Times New Roman"/>
          <w:sz w:val="22"/>
          <w:szCs w:val="22"/>
        </w:rPr>
        <w:t xml:space="preserve">Loren, </w:t>
      </w:r>
      <w:r w:rsidRPr="00B42CAE">
        <w:rPr>
          <w:rFonts w:eastAsia="Times New Roman"/>
          <w:sz w:val="22"/>
          <w:szCs w:val="22"/>
        </w:rPr>
        <w:t>Chang-Tai Hsieh</w:t>
      </w:r>
      <w:r>
        <w:rPr>
          <w:rFonts w:eastAsia="Times New Roman"/>
          <w:sz w:val="22"/>
          <w:szCs w:val="22"/>
        </w:rPr>
        <w:t>,</w:t>
      </w:r>
      <w:r w:rsidRPr="00B42CAE">
        <w:rPr>
          <w:rFonts w:eastAsia="Times New Roman"/>
          <w:sz w:val="22"/>
          <w:szCs w:val="22"/>
        </w:rPr>
        <w:t xml:space="preserve"> and Xiaodong Zhu</w:t>
      </w:r>
      <w:r>
        <w:rPr>
          <w:rFonts w:eastAsia="Times New Roman"/>
          <w:sz w:val="22"/>
          <w:szCs w:val="22"/>
        </w:rPr>
        <w:t xml:space="preserve">.2008. </w:t>
      </w:r>
      <w:r w:rsidRPr="00B42CAE">
        <w:rPr>
          <w:rFonts w:eastAsia="Times New Roman"/>
          <w:sz w:val="22"/>
          <w:szCs w:val="22"/>
        </w:rPr>
        <w:t>“</w:t>
      </w:r>
      <w:hyperlink r:id="rId19" w:history="1">
        <w:r w:rsidRPr="00B42CAE">
          <w:rPr>
            <w:rStyle w:val="a6"/>
            <w:rFonts w:eastAsia="Times New Roman"/>
            <w:sz w:val="22"/>
            <w:szCs w:val="22"/>
          </w:rPr>
          <w:t>Growth and Structural Transformation in China</w:t>
        </w:r>
      </w:hyperlink>
      <w:r w:rsidRPr="00B42CAE">
        <w:rPr>
          <w:rFonts w:eastAsia="Times New Roman"/>
          <w:sz w:val="22"/>
          <w:szCs w:val="22"/>
        </w:rPr>
        <w:t xml:space="preserve">.” In Loren Brandt and Thomas </w:t>
      </w:r>
      <w:r w:rsidRPr="00B42CAE">
        <w:rPr>
          <w:rStyle w:val="spelle"/>
          <w:rFonts w:eastAsia="Times New Roman"/>
          <w:sz w:val="22"/>
          <w:szCs w:val="22"/>
        </w:rPr>
        <w:t>Rawski</w:t>
      </w:r>
      <w:r w:rsidRPr="00B42CAE">
        <w:rPr>
          <w:rFonts w:eastAsia="Times New Roman"/>
          <w:sz w:val="22"/>
          <w:szCs w:val="22"/>
        </w:rPr>
        <w:t xml:space="preserve"> ed. </w:t>
      </w:r>
      <w:r w:rsidRPr="00F575FE">
        <w:rPr>
          <w:rFonts w:eastAsia="Times New Roman"/>
          <w:i/>
          <w:sz w:val="22"/>
          <w:szCs w:val="22"/>
        </w:rPr>
        <w:t>China’s Great Economic Transformation</w:t>
      </w:r>
      <w:r w:rsidRPr="00B42CAE">
        <w:rPr>
          <w:rFonts w:eastAsia="Times New Roman"/>
          <w:sz w:val="22"/>
          <w:szCs w:val="22"/>
        </w:rPr>
        <w:t>, pp. 569-</w:t>
      </w:r>
      <w:r>
        <w:rPr>
          <w:rFonts w:eastAsia="Times New Roman"/>
          <w:sz w:val="22"/>
          <w:szCs w:val="22"/>
        </w:rPr>
        <w:t>632, Cambridge University Press.</w:t>
      </w:r>
    </w:p>
    <w:p w:rsidR="00AD546F" w:rsidRDefault="00AD546F" w:rsidP="00AD546F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*</w:t>
      </w:r>
      <w:r w:rsidR="00D53736">
        <w:rPr>
          <w:sz w:val="22"/>
          <w:szCs w:val="22"/>
        </w:rPr>
        <w:t>Brandt, Loren</w:t>
      </w:r>
      <w:r w:rsidR="00154EAA">
        <w:rPr>
          <w:rFonts w:hint="eastAsia"/>
          <w:sz w:val="22"/>
          <w:szCs w:val="22"/>
        </w:rPr>
        <w:t xml:space="preserve"> </w:t>
      </w:r>
      <w:r w:rsidR="00D53736">
        <w:rPr>
          <w:sz w:val="22"/>
          <w:szCs w:val="22"/>
        </w:rPr>
        <w:t>and Xiaodong Zhu. 2010</w:t>
      </w:r>
      <w:r w:rsidRPr="007D7DB6">
        <w:rPr>
          <w:sz w:val="22"/>
          <w:szCs w:val="22"/>
        </w:rPr>
        <w:t xml:space="preserve">. </w:t>
      </w:r>
      <w:r w:rsidR="00D53736">
        <w:rPr>
          <w:sz w:val="22"/>
          <w:szCs w:val="22"/>
        </w:rPr>
        <w:t>“</w:t>
      </w:r>
      <w:hyperlink r:id="rId20" w:history="1">
        <w:r w:rsidR="00D53736" w:rsidRPr="003B2EDA">
          <w:rPr>
            <w:rStyle w:val="a6"/>
            <w:sz w:val="22"/>
            <w:szCs w:val="22"/>
          </w:rPr>
          <w:t>Accounting for China’</w:t>
        </w:r>
        <w:r w:rsidR="003B2EDA" w:rsidRPr="003B2EDA">
          <w:rPr>
            <w:rStyle w:val="a6"/>
            <w:sz w:val="22"/>
            <w:szCs w:val="22"/>
          </w:rPr>
          <w:t>s Growth</w:t>
        </w:r>
      </w:hyperlink>
      <w:r w:rsidR="003B2EDA">
        <w:rPr>
          <w:sz w:val="22"/>
          <w:szCs w:val="22"/>
        </w:rPr>
        <w:t>,</w:t>
      </w:r>
      <w:r w:rsidR="00D53736">
        <w:rPr>
          <w:sz w:val="22"/>
          <w:szCs w:val="22"/>
        </w:rPr>
        <w:t xml:space="preserve">” </w:t>
      </w:r>
      <w:r w:rsidR="003B2EDA">
        <w:rPr>
          <w:sz w:val="22"/>
          <w:szCs w:val="22"/>
        </w:rPr>
        <w:t>University of Toronto Working Paper No.394.</w:t>
      </w:r>
    </w:p>
    <w:p w:rsidR="00797598" w:rsidRPr="00797598" w:rsidRDefault="00797598" w:rsidP="00797598">
      <w:pPr>
        <w:numPr>
          <w:ilvl w:val="0"/>
          <w:numId w:val="17"/>
        </w:numPr>
        <w:rPr>
          <w:sz w:val="22"/>
          <w:szCs w:val="22"/>
        </w:rPr>
      </w:pPr>
      <w:r w:rsidRPr="007D7DB6">
        <w:rPr>
          <w:sz w:val="22"/>
          <w:szCs w:val="22"/>
        </w:rPr>
        <w:t xml:space="preserve">Hayashi, Fumio and Edward C. Prescott. 2008. “The Depressing Effect of Agricultural Institutions on the Prewar Japanese Economy.” </w:t>
      </w:r>
      <w:r w:rsidRPr="007D7DB6">
        <w:rPr>
          <w:i/>
          <w:sz w:val="22"/>
          <w:szCs w:val="22"/>
        </w:rPr>
        <w:t>Journal of Political Economy</w:t>
      </w:r>
      <w:r w:rsidRPr="007D7DB6">
        <w:rPr>
          <w:sz w:val="22"/>
          <w:szCs w:val="22"/>
        </w:rPr>
        <w:t xml:space="preserve"> 116 (4)</w:t>
      </w:r>
    </w:p>
    <w:p w:rsidR="00AD546F" w:rsidRPr="00AD546F" w:rsidRDefault="00AD546F" w:rsidP="00AD546F">
      <w:pPr>
        <w:numPr>
          <w:ilvl w:val="0"/>
          <w:numId w:val="17"/>
        </w:numPr>
        <w:rPr>
          <w:sz w:val="22"/>
          <w:szCs w:val="22"/>
        </w:rPr>
      </w:pPr>
      <w:r w:rsidRPr="007D7DB6">
        <w:rPr>
          <w:sz w:val="22"/>
          <w:szCs w:val="22"/>
        </w:rPr>
        <w:t xml:space="preserve">Rodrik, Dani. 2013. “Unconditional Convergence in Manufacturing.” </w:t>
      </w:r>
      <w:r w:rsidRPr="007D7DB6">
        <w:rPr>
          <w:i/>
          <w:sz w:val="22"/>
          <w:szCs w:val="22"/>
        </w:rPr>
        <w:t>Quarterly Journal of Economics</w:t>
      </w:r>
      <w:r w:rsidRPr="007D7DB6">
        <w:rPr>
          <w:sz w:val="22"/>
          <w:szCs w:val="22"/>
        </w:rPr>
        <w:t xml:space="preserve"> 126 (1): 165-204.</w:t>
      </w:r>
    </w:p>
    <w:p w:rsidR="00920741" w:rsidRPr="007D7DB6" w:rsidRDefault="00920741" w:rsidP="00920741">
      <w:pPr>
        <w:spacing w:before="120"/>
        <w:jc w:val="center"/>
        <w:rPr>
          <w:b/>
          <w:sz w:val="22"/>
          <w:szCs w:val="22"/>
        </w:rPr>
      </w:pPr>
    </w:p>
    <w:p w:rsidR="006F4A07" w:rsidRPr="00AE60A4" w:rsidRDefault="00AE60A4" w:rsidP="00EC20B3">
      <w:pPr>
        <w:pStyle w:val="a3"/>
        <w:numPr>
          <w:ilvl w:val="0"/>
          <w:numId w:val="28"/>
        </w:numPr>
        <w:spacing w:before="120"/>
        <w:rPr>
          <w:rFonts w:ascii="Times New Roman" w:hAnsi="Times New Roman" w:cs="Times New Roman"/>
          <w:u w:val="single"/>
          <w:lang w:val="en-US"/>
        </w:rPr>
      </w:pPr>
      <w:r w:rsidRPr="00AE60A4">
        <w:rPr>
          <w:rFonts w:ascii="Times New Roman" w:hAnsi="Times New Roman" w:cs="Times New Roman"/>
          <w:u w:val="single"/>
          <w:lang w:val="en-US"/>
        </w:rPr>
        <w:t>Trade,</w:t>
      </w:r>
      <w:r w:rsidR="00005FB7">
        <w:rPr>
          <w:rFonts w:ascii="Times New Roman" w:hAnsi="Times New Roman" w:cs="Times New Roman" w:hint="eastAsia"/>
          <w:u w:val="single"/>
          <w:lang w:val="en-US"/>
        </w:rPr>
        <w:t xml:space="preserve"> </w:t>
      </w:r>
      <w:r w:rsidR="006F4A07" w:rsidRPr="00AE60A4">
        <w:rPr>
          <w:rFonts w:ascii="Times New Roman" w:hAnsi="Times New Roman" w:cs="Times New Roman"/>
          <w:u w:val="single"/>
          <w:lang w:val="en-US"/>
        </w:rPr>
        <w:t>Migration</w:t>
      </w:r>
      <w:r w:rsidR="00EC20B3" w:rsidRPr="00AE60A4">
        <w:rPr>
          <w:rFonts w:ascii="Times New Roman" w:hAnsi="Times New Roman" w:cs="Times New Roman"/>
          <w:u w:val="single"/>
          <w:lang w:val="en-US"/>
        </w:rPr>
        <w:t xml:space="preserve"> and Aggregate Productivity</w:t>
      </w:r>
      <w:r w:rsidR="00640FDE">
        <w:rPr>
          <w:rFonts w:ascii="Times New Roman" w:hAnsi="Times New Roman" w:cs="Times New Roman"/>
          <w:u w:val="single"/>
          <w:lang w:val="en-US"/>
        </w:rPr>
        <w:t xml:space="preserve"> </w:t>
      </w:r>
      <w:r w:rsidR="00EA465A">
        <w:rPr>
          <w:rFonts w:ascii="Times New Roman" w:hAnsi="Times New Roman" w:cs="Times New Roman" w:hint="eastAsia"/>
          <w:u w:val="single"/>
          <w:lang w:val="en-US"/>
        </w:rPr>
        <w:t xml:space="preserve"> </w:t>
      </w:r>
    </w:p>
    <w:p w:rsidR="00EC20B3" w:rsidRPr="00AE60A4" w:rsidRDefault="00EC20B3" w:rsidP="00EC20B3">
      <w:pPr>
        <w:pStyle w:val="a3"/>
        <w:spacing w:before="120"/>
        <w:rPr>
          <w:rFonts w:ascii="Times New Roman" w:hAnsi="Times New Roman" w:cs="Times New Roman"/>
          <w:u w:val="single"/>
          <w:lang w:val="en-US"/>
        </w:rPr>
      </w:pPr>
    </w:p>
    <w:p w:rsidR="00705916" w:rsidRDefault="00705916" w:rsidP="00CC5436">
      <w:pPr>
        <w:pStyle w:val="a3"/>
        <w:numPr>
          <w:ilvl w:val="0"/>
          <w:numId w:val="14"/>
        </w:numPr>
        <w:spacing w:before="120"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*Lecture Note on Trade and Migration</w:t>
      </w:r>
    </w:p>
    <w:p w:rsidR="00490C03" w:rsidRPr="007D7DB6" w:rsidRDefault="00D90333" w:rsidP="00CC5436">
      <w:pPr>
        <w:pStyle w:val="a3"/>
        <w:numPr>
          <w:ilvl w:val="0"/>
          <w:numId w:val="14"/>
        </w:numPr>
        <w:spacing w:before="120" w:after="0"/>
        <w:rPr>
          <w:rFonts w:ascii="Times New Roman" w:hAnsi="Times New Roman" w:cs="Times New Roman"/>
          <w:lang w:val="en-US"/>
        </w:rPr>
      </w:pPr>
      <w:r w:rsidRPr="007D7DB6">
        <w:rPr>
          <w:rFonts w:ascii="Times New Roman" w:hAnsi="Times New Roman" w:cs="Times New Roman" w:hint="eastAsia"/>
          <w:lang w:val="en-US"/>
        </w:rPr>
        <w:t>*</w:t>
      </w:r>
      <w:r w:rsidR="00490C03" w:rsidRPr="007D7DB6">
        <w:rPr>
          <w:rFonts w:ascii="Times New Roman" w:hAnsi="Times New Roman" w:cs="Times New Roman"/>
          <w:lang w:val="en-US"/>
        </w:rPr>
        <w:t>Eaton</w:t>
      </w:r>
      <w:r w:rsidR="00CE0D32" w:rsidRPr="007D7DB6">
        <w:rPr>
          <w:rFonts w:ascii="Times New Roman" w:hAnsi="Times New Roman" w:cs="Times New Roman" w:hint="eastAsia"/>
          <w:lang w:val="en-US"/>
        </w:rPr>
        <w:t>, Jonathan</w:t>
      </w:r>
      <w:r w:rsidR="00490C03" w:rsidRPr="007D7DB6">
        <w:rPr>
          <w:rFonts w:ascii="Times New Roman" w:hAnsi="Times New Roman" w:cs="Times New Roman"/>
          <w:lang w:val="en-US"/>
        </w:rPr>
        <w:t xml:space="preserve"> and </w:t>
      </w:r>
      <w:r w:rsidRPr="007D7DB6">
        <w:rPr>
          <w:rFonts w:ascii="Times New Roman" w:hAnsi="Times New Roman" w:cs="Times New Roman" w:hint="eastAsia"/>
          <w:lang w:val="en-US"/>
        </w:rPr>
        <w:t xml:space="preserve">Samuel </w:t>
      </w:r>
      <w:r w:rsidR="00490C03" w:rsidRPr="007D7DB6">
        <w:rPr>
          <w:rFonts w:ascii="Times New Roman" w:hAnsi="Times New Roman" w:cs="Times New Roman"/>
          <w:lang w:val="en-US"/>
        </w:rPr>
        <w:t>Kortum</w:t>
      </w:r>
      <w:r w:rsidRPr="007D7DB6">
        <w:rPr>
          <w:rFonts w:ascii="Times New Roman" w:hAnsi="Times New Roman" w:cs="Times New Roman" w:hint="eastAsia"/>
          <w:lang w:val="en-US"/>
        </w:rPr>
        <w:t xml:space="preserve">. 2002. </w:t>
      </w:r>
      <w:r w:rsidRPr="007D7DB6">
        <w:rPr>
          <w:rFonts w:ascii="Times New Roman" w:hAnsi="Times New Roman" w:cs="Times New Roman"/>
          <w:lang w:val="en-US"/>
        </w:rPr>
        <w:t>“</w:t>
      </w:r>
      <w:r w:rsidRPr="007D7DB6">
        <w:rPr>
          <w:rFonts w:ascii="Times New Roman" w:hAnsi="Times New Roman" w:cs="Times New Roman" w:hint="eastAsia"/>
          <w:lang w:val="en-US"/>
        </w:rPr>
        <w:t>Technology, Geography, and Trade.</w:t>
      </w:r>
      <w:r w:rsidRPr="007D7DB6">
        <w:rPr>
          <w:rFonts w:ascii="Times New Roman" w:hAnsi="Times New Roman" w:cs="Times New Roman"/>
          <w:lang w:val="en-US"/>
        </w:rPr>
        <w:t>”</w:t>
      </w:r>
      <w:r w:rsidRPr="007D7DB6">
        <w:rPr>
          <w:rFonts w:ascii="Times New Roman" w:hAnsi="Times New Roman" w:cs="Times New Roman" w:hint="eastAsia"/>
          <w:i/>
          <w:lang w:val="en-US"/>
        </w:rPr>
        <w:t>Econometrica</w:t>
      </w:r>
      <w:r w:rsidRPr="007D7DB6">
        <w:rPr>
          <w:rFonts w:ascii="Times New Roman" w:hAnsi="Times New Roman" w:cs="Times New Roman" w:hint="eastAsia"/>
          <w:lang w:val="en-US"/>
        </w:rPr>
        <w:t xml:space="preserve"> 70 (5) :1741-1779. </w:t>
      </w:r>
    </w:p>
    <w:p w:rsidR="00026BF9" w:rsidRPr="007D7DB6" w:rsidRDefault="00382A78" w:rsidP="006F4A07">
      <w:pPr>
        <w:pStyle w:val="a3"/>
        <w:numPr>
          <w:ilvl w:val="0"/>
          <w:numId w:val="14"/>
        </w:numPr>
        <w:spacing w:before="120" w:after="0"/>
        <w:rPr>
          <w:rFonts w:ascii="Times New Roman" w:hAnsi="Times New Roman" w:cs="Times New Roman"/>
          <w:lang w:val="en-US"/>
        </w:rPr>
      </w:pPr>
      <w:r w:rsidRPr="007D7DB6">
        <w:rPr>
          <w:rFonts w:ascii="Times New Roman" w:hAnsi="Times New Roman" w:cs="Times New Roman"/>
          <w:lang w:val="en-US"/>
        </w:rPr>
        <w:t>*</w:t>
      </w:r>
      <w:r w:rsidR="00026BF9" w:rsidRPr="007D7DB6">
        <w:rPr>
          <w:rFonts w:ascii="Times New Roman" w:hAnsi="Times New Roman" w:cs="Times New Roman"/>
          <w:lang w:val="en-US"/>
        </w:rPr>
        <w:t>T</w:t>
      </w:r>
      <w:r w:rsidR="00EF462E" w:rsidRPr="007D7DB6">
        <w:rPr>
          <w:rFonts w:ascii="Times New Roman" w:hAnsi="Times New Roman" w:cs="Times New Roman"/>
          <w:lang w:val="en-US"/>
        </w:rPr>
        <w:t>ombe, T</w:t>
      </w:r>
      <w:r w:rsidR="00026BF9" w:rsidRPr="007D7DB6">
        <w:rPr>
          <w:rFonts w:ascii="Times New Roman" w:hAnsi="Times New Roman" w:cs="Times New Roman"/>
          <w:lang w:val="en-US"/>
        </w:rPr>
        <w:t>revor and Xiaodong Zhu</w:t>
      </w:r>
      <w:r w:rsidR="003B02E1">
        <w:rPr>
          <w:rFonts w:ascii="Times New Roman" w:hAnsi="Times New Roman" w:cs="Times New Roman"/>
          <w:lang w:val="en-US"/>
        </w:rPr>
        <w:t>. 2019</w:t>
      </w:r>
      <w:r w:rsidR="00C078B9" w:rsidRPr="007D7DB6">
        <w:rPr>
          <w:rFonts w:ascii="Times New Roman" w:hAnsi="Times New Roman" w:cs="Times New Roman"/>
          <w:lang w:val="en-US"/>
        </w:rPr>
        <w:t>.</w:t>
      </w:r>
      <w:r w:rsidR="00026BF9" w:rsidRPr="007D7DB6">
        <w:rPr>
          <w:rFonts w:ascii="Times New Roman" w:hAnsi="Times New Roman" w:cs="Times New Roman"/>
          <w:lang w:val="en-US"/>
        </w:rPr>
        <w:t xml:space="preserve"> “</w:t>
      </w:r>
      <w:hyperlink r:id="rId21" w:history="1">
        <w:r w:rsidR="00026BF9" w:rsidRPr="00AE60A4">
          <w:rPr>
            <w:rStyle w:val="a6"/>
            <w:rFonts w:ascii="Times New Roman" w:hAnsi="Times New Roman" w:cs="Times New Roman"/>
            <w:lang w:val="en-US"/>
          </w:rPr>
          <w:t>Trade, Migration</w:t>
        </w:r>
        <w:r w:rsidR="008559B6" w:rsidRPr="00AE60A4">
          <w:rPr>
            <w:rStyle w:val="a6"/>
            <w:rFonts w:ascii="Times New Roman" w:hAnsi="Times New Roman" w:cs="Times New Roman"/>
            <w:lang w:val="en-US"/>
          </w:rPr>
          <w:t>,</w:t>
        </w:r>
        <w:r w:rsidR="00026BF9" w:rsidRPr="00AE60A4">
          <w:rPr>
            <w:rStyle w:val="a6"/>
            <w:rFonts w:ascii="Times New Roman" w:hAnsi="Times New Roman" w:cs="Times New Roman"/>
            <w:lang w:val="en-US"/>
          </w:rPr>
          <w:t xml:space="preserve"> and Productivity: A Quantitative Analysis of China</w:t>
        </w:r>
      </w:hyperlink>
      <w:r w:rsidR="008559B6">
        <w:rPr>
          <w:rFonts w:ascii="Times New Roman" w:hAnsi="Times New Roman" w:cs="Times New Roman"/>
          <w:lang w:val="en-US"/>
        </w:rPr>
        <w:t>,</w:t>
      </w:r>
      <w:r w:rsidR="00026BF9" w:rsidRPr="007D7DB6">
        <w:rPr>
          <w:rFonts w:ascii="Times New Roman" w:hAnsi="Times New Roman" w:cs="Times New Roman"/>
          <w:lang w:val="en-US"/>
        </w:rPr>
        <w:t xml:space="preserve">” </w:t>
      </w:r>
      <w:r w:rsidR="008559B6" w:rsidRPr="00AE60A4">
        <w:rPr>
          <w:rFonts w:ascii="Times New Roman" w:hAnsi="Times New Roman" w:cs="Times New Roman"/>
          <w:i/>
          <w:lang w:val="en-US"/>
        </w:rPr>
        <w:t>American Economic Review</w:t>
      </w:r>
      <w:r w:rsidR="00AE60A4">
        <w:rPr>
          <w:rFonts w:ascii="Times New Roman" w:hAnsi="Times New Roman" w:cs="Times New Roman"/>
          <w:lang w:val="en-US"/>
        </w:rPr>
        <w:t xml:space="preserve">, </w:t>
      </w:r>
      <w:r w:rsidR="003B02E1">
        <w:rPr>
          <w:rFonts w:ascii="Times New Roman" w:hAnsi="Times New Roman" w:cs="Times New Roman"/>
          <w:lang w:val="en-US"/>
        </w:rPr>
        <w:t>109(5): 1843-1872.</w:t>
      </w:r>
    </w:p>
    <w:p w:rsidR="008559B6" w:rsidRPr="008559B6" w:rsidRDefault="008559B6" w:rsidP="009B42A8">
      <w:pPr>
        <w:pStyle w:val="a3"/>
        <w:numPr>
          <w:ilvl w:val="0"/>
          <w:numId w:val="14"/>
        </w:numPr>
        <w:spacing w:before="120"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Bryan, Gahrad and Melanie Morten. 2018. “</w:t>
      </w:r>
      <w:hyperlink r:id="rId22" w:history="1">
        <w:r w:rsidRPr="00AE60A4">
          <w:rPr>
            <w:rStyle w:val="a6"/>
            <w:rFonts w:ascii="Times New Roman" w:hAnsi="Times New Roman" w:cs="Times New Roman"/>
            <w:lang w:val="en-US"/>
          </w:rPr>
          <w:t>The Aggregate Productivity Effects of Internal Migration: Evidence from Indonesia</w:t>
        </w:r>
      </w:hyperlink>
      <w:r>
        <w:rPr>
          <w:rFonts w:ascii="Times New Roman" w:hAnsi="Times New Roman" w:cs="Times New Roman"/>
          <w:lang w:val="en-US"/>
        </w:rPr>
        <w:t xml:space="preserve">,” </w:t>
      </w:r>
      <w:r w:rsidRPr="008559B6">
        <w:rPr>
          <w:rFonts w:ascii="Times New Roman" w:hAnsi="Times New Roman" w:cs="Times New Roman"/>
          <w:i/>
          <w:lang w:val="en-US"/>
        </w:rPr>
        <w:t>Journal of Political Economy</w:t>
      </w:r>
      <w:r w:rsidR="00AE60A4">
        <w:rPr>
          <w:rFonts w:ascii="Times New Roman" w:hAnsi="Times New Roman" w:cs="Times New Roman"/>
          <w:lang w:val="en-US"/>
        </w:rPr>
        <w:t>, forthcoming.</w:t>
      </w:r>
    </w:p>
    <w:p w:rsidR="00BC2B39" w:rsidRPr="007D7DB6" w:rsidRDefault="00BC2B39" w:rsidP="009B42A8">
      <w:pPr>
        <w:pStyle w:val="a3"/>
        <w:numPr>
          <w:ilvl w:val="0"/>
          <w:numId w:val="14"/>
        </w:numPr>
        <w:spacing w:before="120" w:after="0"/>
        <w:rPr>
          <w:rFonts w:ascii="Times New Roman" w:hAnsi="Times New Roman" w:cs="Times New Roman"/>
          <w:lang w:val="en-US"/>
        </w:rPr>
      </w:pPr>
      <w:r w:rsidRPr="00D078B6">
        <w:rPr>
          <w:rFonts w:ascii="Times New Roman" w:hAnsi="Times New Roman" w:cs="Times New Roman"/>
          <w:lang w:val="it-IT"/>
        </w:rPr>
        <w:t xml:space="preserve">Caliendo, Lorenzo, MaximilianoDvorkin, and Fernando Parro. </w:t>
      </w:r>
      <w:r w:rsidRPr="007D7DB6">
        <w:rPr>
          <w:rFonts w:ascii="Times New Roman" w:hAnsi="Times New Roman" w:cs="Times New Roman"/>
          <w:lang w:val="en-US"/>
        </w:rPr>
        <w:t>2015. “Trade and Labor Market Dynamics</w:t>
      </w:r>
      <w:r w:rsidR="002E75AA" w:rsidRPr="007D7DB6">
        <w:rPr>
          <w:rFonts w:ascii="Times New Roman" w:hAnsi="Times New Roman" w:cs="Times New Roman"/>
          <w:lang w:val="en-US"/>
        </w:rPr>
        <w:t>: General Equilibrium</w:t>
      </w:r>
      <w:r w:rsidRPr="007D7DB6">
        <w:rPr>
          <w:rFonts w:ascii="Times New Roman" w:hAnsi="Times New Roman" w:cs="Times New Roman"/>
          <w:lang w:val="en-US"/>
        </w:rPr>
        <w:t xml:space="preserve"> Analysis of China Shock.” NBER Working Paper No. 21149.</w:t>
      </w:r>
    </w:p>
    <w:p w:rsidR="00CE0D32" w:rsidRPr="007D7DB6" w:rsidRDefault="00CE0D32" w:rsidP="00CE0D32">
      <w:pPr>
        <w:pStyle w:val="a3"/>
        <w:spacing w:before="120" w:after="0"/>
        <w:ind w:left="1068"/>
        <w:rPr>
          <w:rFonts w:ascii="Times New Roman" w:hAnsi="Times New Roman" w:cs="Times New Roman"/>
          <w:lang w:val="en-US"/>
        </w:rPr>
      </w:pPr>
    </w:p>
    <w:p w:rsidR="00B44651" w:rsidRPr="00D078B6" w:rsidRDefault="008559B6" w:rsidP="008559B6">
      <w:pPr>
        <w:pStyle w:val="a3"/>
        <w:numPr>
          <w:ilvl w:val="0"/>
          <w:numId w:val="28"/>
        </w:numPr>
        <w:spacing w:before="120"/>
        <w:rPr>
          <w:rFonts w:ascii="Times New Roman" w:hAnsi="Times New Roman" w:cs="Times New Roman"/>
          <w:u w:val="single"/>
          <w:lang w:val="en-US"/>
        </w:rPr>
      </w:pPr>
      <w:r w:rsidRPr="00D078B6">
        <w:rPr>
          <w:rFonts w:ascii="Times New Roman" w:hAnsi="Times New Roman" w:cs="Times New Roman"/>
          <w:u w:val="single"/>
          <w:lang w:val="en-US"/>
        </w:rPr>
        <w:t>T</w:t>
      </w:r>
      <w:r w:rsidR="00EC20B3" w:rsidRPr="00D078B6">
        <w:rPr>
          <w:rFonts w:ascii="Times New Roman" w:hAnsi="Times New Roman" w:cs="Times New Roman"/>
          <w:u w:val="single"/>
          <w:lang w:val="en-US"/>
        </w:rPr>
        <w:t>rade</w:t>
      </w:r>
      <w:r w:rsidR="00DA6AAC" w:rsidRPr="00D078B6">
        <w:rPr>
          <w:rFonts w:ascii="Times New Roman" w:hAnsi="Times New Roman" w:cs="Times New Roman"/>
          <w:u w:val="single"/>
          <w:lang w:val="en-US"/>
        </w:rPr>
        <w:t xml:space="preserve"> and </w:t>
      </w:r>
      <w:r w:rsidR="00D078B6" w:rsidRPr="00D078B6">
        <w:rPr>
          <w:rFonts w:ascii="Times New Roman" w:hAnsi="Times New Roman" w:cs="Times New Roman"/>
          <w:u w:val="single"/>
          <w:lang w:val="en-US"/>
        </w:rPr>
        <w:t>Structural Change</w:t>
      </w:r>
      <w:r w:rsidR="00640FDE">
        <w:rPr>
          <w:rFonts w:ascii="Times New Roman" w:hAnsi="Times New Roman" w:cs="Times New Roman"/>
          <w:u w:val="single"/>
          <w:lang w:val="en-US"/>
        </w:rPr>
        <w:t xml:space="preserve"> </w:t>
      </w:r>
      <w:r w:rsidR="00EA465A">
        <w:rPr>
          <w:rFonts w:ascii="Times New Roman" w:hAnsi="Times New Roman" w:cs="Times New Roman" w:hint="eastAsia"/>
          <w:u w:val="single"/>
          <w:lang w:val="en-US"/>
        </w:rPr>
        <w:t xml:space="preserve"> </w:t>
      </w:r>
    </w:p>
    <w:p w:rsidR="008559B6" w:rsidRPr="00D078B6" w:rsidRDefault="008559B6" w:rsidP="008559B6">
      <w:pPr>
        <w:pStyle w:val="a3"/>
        <w:spacing w:before="120"/>
        <w:rPr>
          <w:i/>
          <w:u w:val="single"/>
          <w:lang w:val="en-US"/>
        </w:rPr>
      </w:pPr>
    </w:p>
    <w:p w:rsidR="00705916" w:rsidRDefault="00705916" w:rsidP="00D01C6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*Lecture Note on Trade and Structural Change</w:t>
      </w:r>
    </w:p>
    <w:p w:rsidR="00D01C67" w:rsidRPr="00D01C67" w:rsidRDefault="00705916" w:rsidP="00D01C6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D01C67" w:rsidRPr="00B42CAE">
        <w:rPr>
          <w:rFonts w:ascii="Times New Roman" w:hAnsi="Times New Roman" w:cs="Times New Roman"/>
          <w:lang w:val="en-US"/>
        </w:rPr>
        <w:t>Mastuyama, K</w:t>
      </w:r>
      <w:r w:rsidR="00D01C67">
        <w:rPr>
          <w:rFonts w:ascii="Times New Roman" w:hAnsi="Times New Roman" w:cs="Times New Roman"/>
          <w:lang w:val="en-US"/>
        </w:rPr>
        <w:t xml:space="preserve">iminori. 2009. </w:t>
      </w:r>
      <w:r w:rsidR="00D01C67" w:rsidRPr="00B42CAE">
        <w:rPr>
          <w:rFonts w:ascii="Times New Roman" w:hAnsi="Times New Roman" w:cs="Times New Roman"/>
          <w:lang w:val="en-US"/>
        </w:rPr>
        <w:t xml:space="preserve">"Structural Change in an Interdependent World: A Global View of Manufacturing Decline." </w:t>
      </w:r>
      <w:r w:rsidR="00D01C67" w:rsidRPr="00706C74">
        <w:rPr>
          <w:rFonts w:ascii="Times New Roman" w:hAnsi="Times New Roman" w:cs="Times New Roman"/>
          <w:i/>
          <w:lang w:val="en-US"/>
        </w:rPr>
        <w:t>Journal of the European Economic Association</w:t>
      </w:r>
      <w:r w:rsidR="00D01C67" w:rsidRPr="00706C74">
        <w:rPr>
          <w:rFonts w:ascii="Times New Roman" w:hAnsi="Times New Roman" w:cs="Times New Roman"/>
          <w:lang w:val="en-US"/>
        </w:rPr>
        <w:t xml:space="preserve"> 7: 478-486</w:t>
      </w:r>
      <w:r w:rsidR="00D01C67">
        <w:rPr>
          <w:rFonts w:ascii="Times New Roman" w:hAnsi="Times New Roman" w:cs="Times New Roman"/>
          <w:lang w:val="en-US"/>
        </w:rPr>
        <w:t>.</w:t>
      </w:r>
    </w:p>
    <w:p w:rsidR="00D078B6" w:rsidRDefault="00705916" w:rsidP="00D078B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D078B6">
        <w:rPr>
          <w:rFonts w:ascii="Times New Roman" w:hAnsi="Times New Roman" w:cs="Times New Roman"/>
          <w:lang w:val="en-US"/>
        </w:rPr>
        <w:t xml:space="preserve">Uy, </w:t>
      </w:r>
      <w:r w:rsidR="003B02E1">
        <w:rPr>
          <w:rFonts w:ascii="Times New Roman" w:hAnsi="Times New Roman" w:cs="Times New Roman"/>
          <w:lang w:val="en-US"/>
        </w:rPr>
        <w:t xml:space="preserve">Timothy, Kei-mu </w:t>
      </w:r>
      <w:r w:rsidR="00D078B6">
        <w:rPr>
          <w:rFonts w:ascii="Times New Roman" w:hAnsi="Times New Roman" w:cs="Times New Roman"/>
          <w:lang w:val="en-US"/>
        </w:rPr>
        <w:t xml:space="preserve">Yi, and </w:t>
      </w:r>
      <w:r w:rsidR="003B02E1">
        <w:rPr>
          <w:rFonts w:ascii="Times New Roman" w:hAnsi="Times New Roman" w:cs="Times New Roman"/>
          <w:lang w:val="en-US"/>
        </w:rPr>
        <w:t xml:space="preserve">Jing </w:t>
      </w:r>
      <w:r w:rsidR="00D078B6">
        <w:rPr>
          <w:rFonts w:ascii="Times New Roman" w:hAnsi="Times New Roman" w:cs="Times New Roman"/>
          <w:lang w:val="en-US"/>
        </w:rPr>
        <w:t xml:space="preserve">Zhang. </w:t>
      </w:r>
      <w:r w:rsidR="003B02E1">
        <w:rPr>
          <w:rFonts w:ascii="Times New Roman" w:hAnsi="Times New Roman" w:cs="Times New Roman"/>
          <w:lang w:val="en-US"/>
        </w:rPr>
        <w:t xml:space="preserve">2013. </w:t>
      </w:r>
      <w:r w:rsidR="00D078B6">
        <w:rPr>
          <w:rFonts w:ascii="Times New Roman" w:hAnsi="Times New Roman" w:cs="Times New Roman"/>
          <w:lang w:val="en-US"/>
        </w:rPr>
        <w:t>“Structural Change in an Open Economy.”</w:t>
      </w:r>
      <w:r w:rsidR="003B02E1" w:rsidRPr="003B02E1">
        <w:rPr>
          <w:rFonts w:ascii="Times New Roman" w:hAnsi="Times New Roman" w:cs="Times New Roman"/>
          <w:i/>
          <w:lang w:val="en-US"/>
        </w:rPr>
        <w:t>Journal of Monetary Economics</w:t>
      </w:r>
      <w:r w:rsidR="003B02E1">
        <w:rPr>
          <w:rFonts w:ascii="Times New Roman" w:hAnsi="Times New Roman" w:cs="Times New Roman"/>
          <w:lang w:val="en-US"/>
        </w:rPr>
        <w:t>, 60: 667-682.</w:t>
      </w:r>
    </w:p>
    <w:p w:rsidR="00705916" w:rsidRPr="00705916" w:rsidRDefault="00705916" w:rsidP="00705916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2002"/>
      <w:r>
        <w:rPr>
          <w:rFonts w:ascii="Times New Roman" w:eastAsia="Times New Roman" w:hAnsi="Times New Roman" w:cs="Times New Roman"/>
          <w:color w:val="000000"/>
          <w:lang w:val="en-US"/>
        </w:rPr>
        <w:t xml:space="preserve">*Matsuyama, Kiminori. 2019. </w:t>
      </w:r>
      <w:r w:rsidRPr="00705916">
        <w:rPr>
          <w:rFonts w:ascii="Times New Roman" w:eastAsia="Times New Roman" w:hAnsi="Times New Roman" w:cs="Times New Roman"/>
          <w:color w:val="000000"/>
          <w:lang w:val="en-US"/>
        </w:rPr>
        <w:t>"Engel's Law in the Global Economy: Demand-Induced Patterns of Structural Change, Innovation, and Trade"</w:t>
      </w:r>
      <w:r w:rsidRPr="0070591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/>
        </w:rPr>
        <w:t xml:space="preserve">, </w:t>
      </w:r>
      <w:r w:rsidRPr="00705916">
        <w:rPr>
          <w:rFonts w:ascii="Times New Roman" w:eastAsia="Times New Roman" w:hAnsi="Times New Roman" w:cs="Times New Roman"/>
          <w:bCs/>
          <w:i/>
          <w:iCs/>
          <w:color w:val="000000"/>
          <w:lang w:val="en-US"/>
        </w:rPr>
        <w:t>Econometrica</w:t>
      </w:r>
      <w:r w:rsidRPr="00705916">
        <w:rPr>
          <w:rFonts w:ascii="Times New Roman" w:eastAsia="Times New Roman" w:hAnsi="Times New Roman" w:cs="Times New Roman"/>
          <w:color w:val="000000"/>
          <w:lang w:val="en-US"/>
        </w:rPr>
        <w:t>, 87: 497-528.</w:t>
      </w:r>
      <w:bookmarkEnd w:id="1"/>
    </w:p>
    <w:p w:rsidR="003B02E1" w:rsidRDefault="003B02E1" w:rsidP="00D078B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Tombe, Trevor. 2015. “The Missing Food Problem: Trade, Agriculture, and International Productivity Differences.” </w:t>
      </w:r>
      <w:r w:rsidRPr="003B02E1">
        <w:rPr>
          <w:rFonts w:ascii="Times New Roman" w:hAnsi="Times New Roman" w:cs="Times New Roman"/>
          <w:i/>
          <w:lang w:val="en-US"/>
        </w:rPr>
        <w:t>American Economic Journal: Macroeconomics</w:t>
      </w:r>
      <w:r>
        <w:rPr>
          <w:rFonts w:ascii="Times New Roman" w:hAnsi="Times New Roman" w:cs="Times New Roman"/>
          <w:lang w:val="en-US"/>
        </w:rPr>
        <w:t>, 7(3): 226-258.</w:t>
      </w:r>
    </w:p>
    <w:p w:rsidR="00705916" w:rsidRDefault="00705916" w:rsidP="0070591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7D7DB6">
        <w:rPr>
          <w:rFonts w:ascii="Times New Roman" w:hAnsi="Times New Roman" w:cs="Times New Roman"/>
          <w:lang w:val="en-US"/>
        </w:rPr>
        <w:t>Sposi, Michael. 2018. “</w:t>
      </w:r>
      <w:hyperlink r:id="rId23" w:history="1">
        <w:r w:rsidRPr="007D7DB6">
          <w:rPr>
            <w:rStyle w:val="a6"/>
            <w:rFonts w:ascii="Times New Roman" w:hAnsi="Times New Roman" w:cs="Times New Roman"/>
            <w:lang w:val="en-US"/>
          </w:rPr>
          <w:t>Evolving Comparative Advantage, Sectoral Linkages, and Structural Change</w:t>
        </w:r>
      </w:hyperlink>
      <w:r w:rsidRPr="007D7DB6">
        <w:rPr>
          <w:rFonts w:ascii="Times New Roman" w:hAnsi="Times New Roman" w:cs="Times New Roman"/>
          <w:lang w:val="en-US"/>
        </w:rPr>
        <w:t xml:space="preserve">.” </w:t>
      </w:r>
      <w:r w:rsidRPr="007D7DB6">
        <w:rPr>
          <w:rFonts w:ascii="Times New Roman" w:hAnsi="Times New Roman" w:cs="Times New Roman"/>
          <w:i/>
          <w:lang w:val="en-US"/>
        </w:rPr>
        <w:t>Journal of Monetary Economics</w:t>
      </w:r>
      <w:r>
        <w:rPr>
          <w:rFonts w:ascii="Times New Roman" w:hAnsi="Times New Roman" w:cs="Times New Roman"/>
          <w:lang w:val="en-US"/>
        </w:rPr>
        <w:t xml:space="preserve"> forthcoming</w:t>
      </w:r>
    </w:p>
    <w:p w:rsidR="009E61E7" w:rsidRPr="00640FDE" w:rsidRDefault="009E61E7" w:rsidP="00640FDE">
      <w:pPr>
        <w:rPr>
          <w:sz w:val="22"/>
          <w:szCs w:val="22"/>
        </w:rPr>
      </w:pPr>
    </w:p>
    <w:sectPr w:rsidR="009E61E7" w:rsidRPr="00640FDE" w:rsidSect="0058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046" w:rsidRDefault="005D6046" w:rsidP="00A903B8">
      <w:r>
        <w:separator/>
      </w:r>
    </w:p>
  </w:endnote>
  <w:endnote w:type="continuationSeparator" w:id="0">
    <w:p w:rsidR="005D6046" w:rsidRDefault="005D6046" w:rsidP="00A9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046" w:rsidRDefault="005D6046" w:rsidP="00A903B8">
      <w:r>
        <w:separator/>
      </w:r>
    </w:p>
  </w:footnote>
  <w:footnote w:type="continuationSeparator" w:id="0">
    <w:p w:rsidR="005D6046" w:rsidRDefault="005D6046" w:rsidP="00A90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529"/>
    <w:multiLevelType w:val="hybridMultilevel"/>
    <w:tmpl w:val="D4B6C72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920E98"/>
    <w:multiLevelType w:val="hybridMultilevel"/>
    <w:tmpl w:val="24DA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06E1"/>
    <w:multiLevelType w:val="hybridMultilevel"/>
    <w:tmpl w:val="B05E9108"/>
    <w:lvl w:ilvl="0" w:tplc="94B690F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65EB"/>
    <w:multiLevelType w:val="hybridMultilevel"/>
    <w:tmpl w:val="62CE096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F20E41"/>
    <w:multiLevelType w:val="hybridMultilevel"/>
    <w:tmpl w:val="E7D20E6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967A91"/>
    <w:multiLevelType w:val="hybridMultilevel"/>
    <w:tmpl w:val="A9825DB8"/>
    <w:lvl w:ilvl="0" w:tplc="FD48766C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A63AD"/>
    <w:multiLevelType w:val="hybridMultilevel"/>
    <w:tmpl w:val="C7CC8DA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63F56"/>
    <w:multiLevelType w:val="hybridMultilevel"/>
    <w:tmpl w:val="68D0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33692"/>
    <w:multiLevelType w:val="hybridMultilevel"/>
    <w:tmpl w:val="1452D6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06D96"/>
    <w:multiLevelType w:val="hybridMultilevel"/>
    <w:tmpl w:val="FEE4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114E8"/>
    <w:multiLevelType w:val="hybridMultilevel"/>
    <w:tmpl w:val="9202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97521"/>
    <w:multiLevelType w:val="hybridMultilevel"/>
    <w:tmpl w:val="8BB2BD0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E9372AD"/>
    <w:multiLevelType w:val="multilevel"/>
    <w:tmpl w:val="6D9ED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EA7028C"/>
    <w:multiLevelType w:val="hybridMultilevel"/>
    <w:tmpl w:val="55900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22BF8"/>
    <w:multiLevelType w:val="hybridMultilevel"/>
    <w:tmpl w:val="ED74FDF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B1086A"/>
    <w:multiLevelType w:val="hybridMultilevel"/>
    <w:tmpl w:val="1D6031F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F445AA"/>
    <w:multiLevelType w:val="hybridMultilevel"/>
    <w:tmpl w:val="067AC51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2F246D"/>
    <w:multiLevelType w:val="hybridMultilevel"/>
    <w:tmpl w:val="40C6478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AA1750"/>
    <w:multiLevelType w:val="hybridMultilevel"/>
    <w:tmpl w:val="2D1CE56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AF33611"/>
    <w:multiLevelType w:val="hybridMultilevel"/>
    <w:tmpl w:val="0372A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44D0A"/>
    <w:multiLevelType w:val="hybridMultilevel"/>
    <w:tmpl w:val="95569B8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277F17"/>
    <w:multiLevelType w:val="hybridMultilevel"/>
    <w:tmpl w:val="62085AF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 w15:restartNumberingAfterBreak="0">
    <w:nsid w:val="50631F7F"/>
    <w:multiLevelType w:val="hybridMultilevel"/>
    <w:tmpl w:val="E96C72C6"/>
    <w:lvl w:ilvl="0" w:tplc="91F4E488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3302BEE"/>
    <w:multiLevelType w:val="hybridMultilevel"/>
    <w:tmpl w:val="14D6D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AC1571C"/>
    <w:multiLevelType w:val="hybridMultilevel"/>
    <w:tmpl w:val="257EC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210400"/>
    <w:multiLevelType w:val="hybridMultilevel"/>
    <w:tmpl w:val="B6905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9024C"/>
    <w:multiLevelType w:val="hybridMultilevel"/>
    <w:tmpl w:val="77A8F60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E866007"/>
    <w:multiLevelType w:val="hybridMultilevel"/>
    <w:tmpl w:val="B5DA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F3D06"/>
    <w:multiLevelType w:val="hybridMultilevel"/>
    <w:tmpl w:val="B09284F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22"/>
  </w:num>
  <w:num w:numId="5">
    <w:abstractNumId w:val="25"/>
  </w:num>
  <w:num w:numId="6">
    <w:abstractNumId w:val="7"/>
  </w:num>
  <w:num w:numId="7">
    <w:abstractNumId w:val="9"/>
  </w:num>
  <w:num w:numId="8">
    <w:abstractNumId w:val="19"/>
  </w:num>
  <w:num w:numId="9">
    <w:abstractNumId w:val="27"/>
  </w:num>
  <w:num w:numId="10">
    <w:abstractNumId w:val="13"/>
  </w:num>
  <w:num w:numId="11">
    <w:abstractNumId w:val="24"/>
  </w:num>
  <w:num w:numId="12">
    <w:abstractNumId w:val="11"/>
  </w:num>
  <w:num w:numId="13">
    <w:abstractNumId w:val="10"/>
  </w:num>
  <w:num w:numId="14">
    <w:abstractNumId w:val="16"/>
  </w:num>
  <w:num w:numId="15">
    <w:abstractNumId w:val="3"/>
  </w:num>
  <w:num w:numId="16">
    <w:abstractNumId w:val="20"/>
  </w:num>
  <w:num w:numId="17">
    <w:abstractNumId w:val="21"/>
  </w:num>
  <w:num w:numId="18">
    <w:abstractNumId w:val="23"/>
  </w:num>
  <w:num w:numId="19">
    <w:abstractNumId w:val="18"/>
  </w:num>
  <w:num w:numId="20">
    <w:abstractNumId w:val="0"/>
  </w:num>
  <w:num w:numId="21">
    <w:abstractNumId w:val="14"/>
  </w:num>
  <w:num w:numId="22">
    <w:abstractNumId w:val="15"/>
  </w:num>
  <w:num w:numId="23">
    <w:abstractNumId w:val="17"/>
  </w:num>
  <w:num w:numId="24">
    <w:abstractNumId w:val="28"/>
  </w:num>
  <w:num w:numId="25">
    <w:abstractNumId w:val="26"/>
  </w:num>
  <w:num w:numId="26">
    <w:abstractNumId w:val="4"/>
  </w:num>
  <w:num w:numId="27">
    <w:abstractNumId w:val="5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30"/>
    <w:rsid w:val="000000F5"/>
    <w:rsid w:val="00005FB7"/>
    <w:rsid w:val="00016BDC"/>
    <w:rsid w:val="00026BF9"/>
    <w:rsid w:val="0003012C"/>
    <w:rsid w:val="00040107"/>
    <w:rsid w:val="00046700"/>
    <w:rsid w:val="00054B8C"/>
    <w:rsid w:val="00067786"/>
    <w:rsid w:val="00081EDF"/>
    <w:rsid w:val="00085D9D"/>
    <w:rsid w:val="000A0A80"/>
    <w:rsid w:val="000A3C2F"/>
    <w:rsid w:val="000A6688"/>
    <w:rsid w:val="000A6F2E"/>
    <w:rsid w:val="000A7931"/>
    <w:rsid w:val="000B0325"/>
    <w:rsid w:val="000C3A2A"/>
    <w:rsid w:val="000D42A6"/>
    <w:rsid w:val="000D6A1A"/>
    <w:rsid w:val="000D6E0E"/>
    <w:rsid w:val="00101B59"/>
    <w:rsid w:val="001040D5"/>
    <w:rsid w:val="00111044"/>
    <w:rsid w:val="00113B69"/>
    <w:rsid w:val="001151E3"/>
    <w:rsid w:val="00117EDD"/>
    <w:rsid w:val="00121472"/>
    <w:rsid w:val="00127B6B"/>
    <w:rsid w:val="00132001"/>
    <w:rsid w:val="001431F8"/>
    <w:rsid w:val="00151151"/>
    <w:rsid w:val="00152B2B"/>
    <w:rsid w:val="00154EAA"/>
    <w:rsid w:val="001559EF"/>
    <w:rsid w:val="00166AC0"/>
    <w:rsid w:val="00170609"/>
    <w:rsid w:val="00171650"/>
    <w:rsid w:val="00182706"/>
    <w:rsid w:val="00197D7E"/>
    <w:rsid w:val="001A194A"/>
    <w:rsid w:val="001B0C96"/>
    <w:rsid w:val="001B16CB"/>
    <w:rsid w:val="001C1830"/>
    <w:rsid w:val="001C6044"/>
    <w:rsid w:val="001D7F2F"/>
    <w:rsid w:val="001E155B"/>
    <w:rsid w:val="001E165F"/>
    <w:rsid w:val="001E3C94"/>
    <w:rsid w:val="001E5692"/>
    <w:rsid w:val="0020035C"/>
    <w:rsid w:val="0020442A"/>
    <w:rsid w:val="00217B04"/>
    <w:rsid w:val="00222024"/>
    <w:rsid w:val="00235181"/>
    <w:rsid w:val="00253DA4"/>
    <w:rsid w:val="00255BA8"/>
    <w:rsid w:val="00257920"/>
    <w:rsid w:val="00260087"/>
    <w:rsid w:val="00270305"/>
    <w:rsid w:val="00282C09"/>
    <w:rsid w:val="00291D0B"/>
    <w:rsid w:val="002924FB"/>
    <w:rsid w:val="00294266"/>
    <w:rsid w:val="00294C5D"/>
    <w:rsid w:val="002A04A7"/>
    <w:rsid w:val="002A0ED6"/>
    <w:rsid w:val="002B35E1"/>
    <w:rsid w:val="002B704F"/>
    <w:rsid w:val="002C1577"/>
    <w:rsid w:val="002D15D2"/>
    <w:rsid w:val="002D5591"/>
    <w:rsid w:val="002E4370"/>
    <w:rsid w:val="002E74A4"/>
    <w:rsid w:val="002E75AA"/>
    <w:rsid w:val="002F2D1A"/>
    <w:rsid w:val="002F34AA"/>
    <w:rsid w:val="003015FE"/>
    <w:rsid w:val="00304CAB"/>
    <w:rsid w:val="00312681"/>
    <w:rsid w:val="00315367"/>
    <w:rsid w:val="00330110"/>
    <w:rsid w:val="003401F1"/>
    <w:rsid w:val="00342020"/>
    <w:rsid w:val="0035176B"/>
    <w:rsid w:val="00367BA7"/>
    <w:rsid w:val="00380AE2"/>
    <w:rsid w:val="003826A8"/>
    <w:rsid w:val="00382A78"/>
    <w:rsid w:val="00382D5D"/>
    <w:rsid w:val="00383D92"/>
    <w:rsid w:val="0038508F"/>
    <w:rsid w:val="00396742"/>
    <w:rsid w:val="003A3268"/>
    <w:rsid w:val="003A6DA2"/>
    <w:rsid w:val="003B02E1"/>
    <w:rsid w:val="003B2EDA"/>
    <w:rsid w:val="003B50E6"/>
    <w:rsid w:val="003C2B06"/>
    <w:rsid w:val="003D308C"/>
    <w:rsid w:val="003D7E74"/>
    <w:rsid w:val="003E3DA9"/>
    <w:rsid w:val="003F17C0"/>
    <w:rsid w:val="003F6949"/>
    <w:rsid w:val="00404E86"/>
    <w:rsid w:val="00405B92"/>
    <w:rsid w:val="00415322"/>
    <w:rsid w:val="0042715E"/>
    <w:rsid w:val="004359A7"/>
    <w:rsid w:val="00441D67"/>
    <w:rsid w:val="00446E3F"/>
    <w:rsid w:val="00450436"/>
    <w:rsid w:val="00461C79"/>
    <w:rsid w:val="00462CC3"/>
    <w:rsid w:val="00463A41"/>
    <w:rsid w:val="00471A1E"/>
    <w:rsid w:val="004807F4"/>
    <w:rsid w:val="00486970"/>
    <w:rsid w:val="00490C03"/>
    <w:rsid w:val="0049222D"/>
    <w:rsid w:val="00494F39"/>
    <w:rsid w:val="004978A9"/>
    <w:rsid w:val="004979F5"/>
    <w:rsid w:val="004A3706"/>
    <w:rsid w:val="004B28E6"/>
    <w:rsid w:val="004C0C14"/>
    <w:rsid w:val="004C5104"/>
    <w:rsid w:val="004D0345"/>
    <w:rsid w:val="004D0DDC"/>
    <w:rsid w:val="004D729E"/>
    <w:rsid w:val="004E4749"/>
    <w:rsid w:val="004E560A"/>
    <w:rsid w:val="004E581F"/>
    <w:rsid w:val="004E5E96"/>
    <w:rsid w:val="004F5513"/>
    <w:rsid w:val="004F6313"/>
    <w:rsid w:val="005129C3"/>
    <w:rsid w:val="00514804"/>
    <w:rsid w:val="005211E8"/>
    <w:rsid w:val="00523D28"/>
    <w:rsid w:val="005356CB"/>
    <w:rsid w:val="0053763B"/>
    <w:rsid w:val="00546B3C"/>
    <w:rsid w:val="00555C79"/>
    <w:rsid w:val="00571361"/>
    <w:rsid w:val="0057282F"/>
    <w:rsid w:val="0058343C"/>
    <w:rsid w:val="00593D71"/>
    <w:rsid w:val="005A43FF"/>
    <w:rsid w:val="005C5DDA"/>
    <w:rsid w:val="005C6593"/>
    <w:rsid w:val="005D6046"/>
    <w:rsid w:val="005F3C56"/>
    <w:rsid w:val="005F5C3A"/>
    <w:rsid w:val="00604CC5"/>
    <w:rsid w:val="00606B81"/>
    <w:rsid w:val="00612FCD"/>
    <w:rsid w:val="00620598"/>
    <w:rsid w:val="00620FF0"/>
    <w:rsid w:val="00636277"/>
    <w:rsid w:val="00640FDE"/>
    <w:rsid w:val="00672042"/>
    <w:rsid w:val="0067373D"/>
    <w:rsid w:val="00684F0B"/>
    <w:rsid w:val="0069350F"/>
    <w:rsid w:val="00695A56"/>
    <w:rsid w:val="006B33A4"/>
    <w:rsid w:val="006B355B"/>
    <w:rsid w:val="006C58A2"/>
    <w:rsid w:val="006D072C"/>
    <w:rsid w:val="006F0FE9"/>
    <w:rsid w:val="006F4A07"/>
    <w:rsid w:val="00705916"/>
    <w:rsid w:val="00706C74"/>
    <w:rsid w:val="007323BF"/>
    <w:rsid w:val="00736268"/>
    <w:rsid w:val="00740EAC"/>
    <w:rsid w:val="00743260"/>
    <w:rsid w:val="00760A97"/>
    <w:rsid w:val="00763EF7"/>
    <w:rsid w:val="00767834"/>
    <w:rsid w:val="00770172"/>
    <w:rsid w:val="0078136D"/>
    <w:rsid w:val="00797598"/>
    <w:rsid w:val="007A0778"/>
    <w:rsid w:val="007A4C70"/>
    <w:rsid w:val="007B2EF1"/>
    <w:rsid w:val="007B33D4"/>
    <w:rsid w:val="007B3B3C"/>
    <w:rsid w:val="007B58E0"/>
    <w:rsid w:val="007B7BDE"/>
    <w:rsid w:val="007C5BC4"/>
    <w:rsid w:val="007C608A"/>
    <w:rsid w:val="007C7F67"/>
    <w:rsid w:val="007D3FAB"/>
    <w:rsid w:val="007D7938"/>
    <w:rsid w:val="007D7DB6"/>
    <w:rsid w:val="007E3021"/>
    <w:rsid w:val="007E5EB7"/>
    <w:rsid w:val="007E6264"/>
    <w:rsid w:val="007F05A4"/>
    <w:rsid w:val="007F1338"/>
    <w:rsid w:val="007F41B4"/>
    <w:rsid w:val="00801B34"/>
    <w:rsid w:val="00801B62"/>
    <w:rsid w:val="00822CB4"/>
    <w:rsid w:val="00831316"/>
    <w:rsid w:val="00836635"/>
    <w:rsid w:val="0083727D"/>
    <w:rsid w:val="00840CA4"/>
    <w:rsid w:val="00846FEB"/>
    <w:rsid w:val="008559B6"/>
    <w:rsid w:val="00865255"/>
    <w:rsid w:val="00871F66"/>
    <w:rsid w:val="008826C6"/>
    <w:rsid w:val="00885B85"/>
    <w:rsid w:val="00891932"/>
    <w:rsid w:val="00897CBF"/>
    <w:rsid w:val="008A5AE5"/>
    <w:rsid w:val="008B076E"/>
    <w:rsid w:val="008B1674"/>
    <w:rsid w:val="008B1EA2"/>
    <w:rsid w:val="008B6F05"/>
    <w:rsid w:val="008C54F0"/>
    <w:rsid w:val="008C797B"/>
    <w:rsid w:val="008D38E7"/>
    <w:rsid w:val="008D6D6C"/>
    <w:rsid w:val="008F339B"/>
    <w:rsid w:val="009024EC"/>
    <w:rsid w:val="00911FD7"/>
    <w:rsid w:val="00914081"/>
    <w:rsid w:val="00920741"/>
    <w:rsid w:val="00926CC7"/>
    <w:rsid w:val="0093252B"/>
    <w:rsid w:val="00951E29"/>
    <w:rsid w:val="00957927"/>
    <w:rsid w:val="009633C1"/>
    <w:rsid w:val="00965115"/>
    <w:rsid w:val="00965205"/>
    <w:rsid w:val="00990846"/>
    <w:rsid w:val="0099295F"/>
    <w:rsid w:val="009A623D"/>
    <w:rsid w:val="009A640E"/>
    <w:rsid w:val="009B128A"/>
    <w:rsid w:val="009B42A8"/>
    <w:rsid w:val="009D382F"/>
    <w:rsid w:val="009D6812"/>
    <w:rsid w:val="009D71CA"/>
    <w:rsid w:val="009E3A12"/>
    <w:rsid w:val="009E61E7"/>
    <w:rsid w:val="009E67EF"/>
    <w:rsid w:val="009F2389"/>
    <w:rsid w:val="009F32DC"/>
    <w:rsid w:val="009F434D"/>
    <w:rsid w:val="009F5347"/>
    <w:rsid w:val="00A01B4E"/>
    <w:rsid w:val="00A05687"/>
    <w:rsid w:val="00A062CC"/>
    <w:rsid w:val="00A106A6"/>
    <w:rsid w:val="00A12637"/>
    <w:rsid w:val="00A129CA"/>
    <w:rsid w:val="00A33556"/>
    <w:rsid w:val="00A345A4"/>
    <w:rsid w:val="00A601B2"/>
    <w:rsid w:val="00A6300C"/>
    <w:rsid w:val="00A7466A"/>
    <w:rsid w:val="00A903B8"/>
    <w:rsid w:val="00A90C5A"/>
    <w:rsid w:val="00A939DF"/>
    <w:rsid w:val="00A97E87"/>
    <w:rsid w:val="00AA3A21"/>
    <w:rsid w:val="00AC2670"/>
    <w:rsid w:val="00AC6E3C"/>
    <w:rsid w:val="00AC7FE3"/>
    <w:rsid w:val="00AD546F"/>
    <w:rsid w:val="00AD6C61"/>
    <w:rsid w:val="00AE60A4"/>
    <w:rsid w:val="00AF344B"/>
    <w:rsid w:val="00B01CF3"/>
    <w:rsid w:val="00B04102"/>
    <w:rsid w:val="00B05E09"/>
    <w:rsid w:val="00B077B0"/>
    <w:rsid w:val="00B21B36"/>
    <w:rsid w:val="00B24CDD"/>
    <w:rsid w:val="00B42CAE"/>
    <w:rsid w:val="00B44651"/>
    <w:rsid w:val="00B559B5"/>
    <w:rsid w:val="00B57A99"/>
    <w:rsid w:val="00B66F21"/>
    <w:rsid w:val="00B67598"/>
    <w:rsid w:val="00B71128"/>
    <w:rsid w:val="00B72EC3"/>
    <w:rsid w:val="00B87EFA"/>
    <w:rsid w:val="00BB3F79"/>
    <w:rsid w:val="00BB7484"/>
    <w:rsid w:val="00BC2B39"/>
    <w:rsid w:val="00BD0B85"/>
    <w:rsid w:val="00BE1DE0"/>
    <w:rsid w:val="00BE52BA"/>
    <w:rsid w:val="00BF069F"/>
    <w:rsid w:val="00C078B9"/>
    <w:rsid w:val="00C23326"/>
    <w:rsid w:val="00C26462"/>
    <w:rsid w:val="00C27EE8"/>
    <w:rsid w:val="00C32B1C"/>
    <w:rsid w:val="00C369E3"/>
    <w:rsid w:val="00C4494D"/>
    <w:rsid w:val="00C528A4"/>
    <w:rsid w:val="00C5751F"/>
    <w:rsid w:val="00C61578"/>
    <w:rsid w:val="00C7196A"/>
    <w:rsid w:val="00C75472"/>
    <w:rsid w:val="00C7675F"/>
    <w:rsid w:val="00C81CD5"/>
    <w:rsid w:val="00C91A2A"/>
    <w:rsid w:val="00C941FC"/>
    <w:rsid w:val="00C95057"/>
    <w:rsid w:val="00CA11E1"/>
    <w:rsid w:val="00CA554F"/>
    <w:rsid w:val="00CA5B63"/>
    <w:rsid w:val="00CB21CE"/>
    <w:rsid w:val="00CC213E"/>
    <w:rsid w:val="00CC218C"/>
    <w:rsid w:val="00CC26E6"/>
    <w:rsid w:val="00CC3FF3"/>
    <w:rsid w:val="00CC5436"/>
    <w:rsid w:val="00CE0D32"/>
    <w:rsid w:val="00CE205F"/>
    <w:rsid w:val="00CE6F02"/>
    <w:rsid w:val="00D01152"/>
    <w:rsid w:val="00D01C67"/>
    <w:rsid w:val="00D0680A"/>
    <w:rsid w:val="00D078B6"/>
    <w:rsid w:val="00D23B6A"/>
    <w:rsid w:val="00D364ED"/>
    <w:rsid w:val="00D3750E"/>
    <w:rsid w:val="00D419A5"/>
    <w:rsid w:val="00D45D73"/>
    <w:rsid w:val="00D46F76"/>
    <w:rsid w:val="00D5125A"/>
    <w:rsid w:val="00D52DCE"/>
    <w:rsid w:val="00D53736"/>
    <w:rsid w:val="00D53B2F"/>
    <w:rsid w:val="00D54AF5"/>
    <w:rsid w:val="00D61DAE"/>
    <w:rsid w:val="00D61F4C"/>
    <w:rsid w:val="00D65B3A"/>
    <w:rsid w:val="00D72B7E"/>
    <w:rsid w:val="00D854AD"/>
    <w:rsid w:val="00D90333"/>
    <w:rsid w:val="00DA41C7"/>
    <w:rsid w:val="00DA4536"/>
    <w:rsid w:val="00DA5D67"/>
    <w:rsid w:val="00DA6AAC"/>
    <w:rsid w:val="00DB2A86"/>
    <w:rsid w:val="00DD72F2"/>
    <w:rsid w:val="00DE253E"/>
    <w:rsid w:val="00DE2A10"/>
    <w:rsid w:val="00DE7129"/>
    <w:rsid w:val="00DF13F6"/>
    <w:rsid w:val="00DF22E6"/>
    <w:rsid w:val="00E26449"/>
    <w:rsid w:val="00E30066"/>
    <w:rsid w:val="00E327B4"/>
    <w:rsid w:val="00E36817"/>
    <w:rsid w:val="00E55BEE"/>
    <w:rsid w:val="00E60276"/>
    <w:rsid w:val="00E6576E"/>
    <w:rsid w:val="00E70014"/>
    <w:rsid w:val="00E756BD"/>
    <w:rsid w:val="00E83981"/>
    <w:rsid w:val="00E92860"/>
    <w:rsid w:val="00E951F4"/>
    <w:rsid w:val="00E974E2"/>
    <w:rsid w:val="00EA3E68"/>
    <w:rsid w:val="00EA465A"/>
    <w:rsid w:val="00EC0D19"/>
    <w:rsid w:val="00EC20B3"/>
    <w:rsid w:val="00EC61B0"/>
    <w:rsid w:val="00ED0DBF"/>
    <w:rsid w:val="00ED6F5E"/>
    <w:rsid w:val="00EE2EE3"/>
    <w:rsid w:val="00EE7E0A"/>
    <w:rsid w:val="00EF27A2"/>
    <w:rsid w:val="00EF462E"/>
    <w:rsid w:val="00F04200"/>
    <w:rsid w:val="00F0454B"/>
    <w:rsid w:val="00F273F5"/>
    <w:rsid w:val="00F43CE2"/>
    <w:rsid w:val="00F56AE3"/>
    <w:rsid w:val="00F575FE"/>
    <w:rsid w:val="00F6538D"/>
    <w:rsid w:val="00F67C42"/>
    <w:rsid w:val="00F82A16"/>
    <w:rsid w:val="00FA75B8"/>
    <w:rsid w:val="00FB7730"/>
    <w:rsid w:val="00FC376D"/>
    <w:rsid w:val="00FC4EB4"/>
    <w:rsid w:val="00FE0A0B"/>
    <w:rsid w:val="00FE63B4"/>
    <w:rsid w:val="00FE7A3A"/>
    <w:rsid w:val="00FF167D"/>
    <w:rsid w:val="00FF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6E7A5A-8A27-4A99-A3AD-3B875F46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4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DA6A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369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83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nl-BE"/>
    </w:rPr>
  </w:style>
  <w:style w:type="paragraph" w:styleId="a4">
    <w:name w:val="Date"/>
    <w:basedOn w:val="a"/>
    <w:next w:val="a"/>
    <w:link w:val="a5"/>
    <w:uiPriority w:val="99"/>
    <w:semiHidden/>
    <w:unhideWhenUsed/>
    <w:rsid w:val="00760A97"/>
    <w:pPr>
      <w:spacing w:after="160" w:line="259" w:lineRule="auto"/>
    </w:pPr>
    <w:rPr>
      <w:rFonts w:asciiTheme="minorHAnsi" w:hAnsiTheme="minorHAnsi" w:cstheme="minorBidi"/>
      <w:sz w:val="22"/>
      <w:szCs w:val="22"/>
      <w:lang w:val="nl-BE"/>
    </w:rPr>
  </w:style>
  <w:style w:type="character" w:customStyle="1" w:styleId="a5">
    <w:name w:val="日期 字符"/>
    <w:basedOn w:val="a0"/>
    <w:link w:val="a4"/>
    <w:uiPriority w:val="99"/>
    <w:semiHidden/>
    <w:rsid w:val="00760A97"/>
  </w:style>
  <w:style w:type="character" w:styleId="a6">
    <w:name w:val="Hyperlink"/>
    <w:basedOn w:val="a0"/>
    <w:uiPriority w:val="99"/>
    <w:semiHidden/>
    <w:rsid w:val="009F32DC"/>
    <w:rPr>
      <w:color w:val="0000FF"/>
      <w:u w:val="single"/>
    </w:rPr>
  </w:style>
  <w:style w:type="character" w:customStyle="1" w:styleId="grame">
    <w:name w:val="grame"/>
    <w:basedOn w:val="a0"/>
    <w:rsid w:val="009F32DC"/>
  </w:style>
  <w:style w:type="character" w:customStyle="1" w:styleId="spelle">
    <w:name w:val="spelle"/>
    <w:basedOn w:val="a0"/>
    <w:rsid w:val="009F32DC"/>
  </w:style>
  <w:style w:type="character" w:styleId="a7">
    <w:name w:val="Emphasis"/>
    <w:basedOn w:val="a0"/>
    <w:uiPriority w:val="20"/>
    <w:qFormat/>
    <w:rsid w:val="0099295F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113B69"/>
    <w:rPr>
      <w:color w:val="954F72" w:themeColor="followedHyperlink"/>
      <w:u w:val="single"/>
    </w:rPr>
  </w:style>
  <w:style w:type="character" w:customStyle="1" w:styleId="20">
    <w:name w:val="标题 2 字符"/>
    <w:basedOn w:val="a0"/>
    <w:link w:val="2"/>
    <w:uiPriority w:val="9"/>
    <w:rsid w:val="00DA6AAC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40">
    <w:name w:val="标题 4 字符"/>
    <w:basedOn w:val="a0"/>
    <w:link w:val="4"/>
    <w:uiPriority w:val="9"/>
    <w:rsid w:val="00C369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label">
    <w:name w:val="label"/>
    <w:basedOn w:val="a0"/>
    <w:rsid w:val="00C369E3"/>
  </w:style>
  <w:style w:type="character" w:styleId="HTML">
    <w:name w:val="HTML Cite"/>
    <w:basedOn w:val="a0"/>
    <w:uiPriority w:val="99"/>
    <w:unhideWhenUsed/>
    <w:rsid w:val="00AF344B"/>
    <w:rPr>
      <w:i/>
      <w:iCs/>
    </w:rPr>
  </w:style>
  <w:style w:type="paragraph" w:styleId="a9">
    <w:name w:val="Plain Text"/>
    <w:basedOn w:val="a"/>
    <w:link w:val="aa"/>
    <w:uiPriority w:val="99"/>
    <w:rsid w:val="001E3C94"/>
    <w:pPr>
      <w:widowControl w:val="0"/>
      <w:jc w:val="both"/>
    </w:pPr>
    <w:rPr>
      <w:rFonts w:ascii="宋体" w:eastAsia="宋体" w:hAnsi="Courier New"/>
      <w:kern w:val="2"/>
      <w:sz w:val="21"/>
      <w:szCs w:val="21"/>
    </w:rPr>
  </w:style>
  <w:style w:type="character" w:customStyle="1" w:styleId="aa">
    <w:name w:val="纯文本 字符"/>
    <w:basedOn w:val="a0"/>
    <w:link w:val="a9"/>
    <w:uiPriority w:val="99"/>
    <w:rsid w:val="001E3C94"/>
    <w:rPr>
      <w:rFonts w:ascii="宋体" w:eastAsia="宋体" w:hAnsi="Courier New" w:cs="Times New Roman"/>
      <w:kern w:val="2"/>
      <w:sz w:val="21"/>
      <w:szCs w:val="21"/>
    </w:rPr>
  </w:style>
  <w:style w:type="paragraph" w:customStyle="1" w:styleId="p1">
    <w:name w:val="p1"/>
    <w:basedOn w:val="a"/>
    <w:rsid w:val="00D01152"/>
    <w:rPr>
      <w:rFonts w:ascii="Helvetica" w:hAnsi="Helvetica"/>
      <w:sz w:val="17"/>
      <w:szCs w:val="17"/>
    </w:rPr>
  </w:style>
  <w:style w:type="character" w:customStyle="1" w:styleId="s4">
    <w:name w:val="s4"/>
    <w:basedOn w:val="a0"/>
    <w:rsid w:val="00EA3E68"/>
  </w:style>
  <w:style w:type="character" w:customStyle="1" w:styleId="s5">
    <w:name w:val="s5"/>
    <w:basedOn w:val="a0"/>
    <w:rsid w:val="00EA3E68"/>
  </w:style>
  <w:style w:type="character" w:customStyle="1" w:styleId="apple-converted-space">
    <w:name w:val="apple-converted-space"/>
    <w:basedOn w:val="a0"/>
    <w:rsid w:val="00CA5B63"/>
  </w:style>
  <w:style w:type="character" w:styleId="ab">
    <w:name w:val="Strong"/>
    <w:basedOn w:val="a0"/>
    <w:uiPriority w:val="22"/>
    <w:qFormat/>
    <w:rsid w:val="0053763B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A90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semiHidden/>
    <w:rsid w:val="00A903B8"/>
    <w:rPr>
      <w:rFonts w:ascii="Times New Roman" w:hAnsi="Times New Roman" w:cs="Times New Roman"/>
      <w:sz w:val="18"/>
      <w:szCs w:val="18"/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A903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semiHidden/>
    <w:rsid w:val="00A903B8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46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04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2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g.nl/ggdc/productivity/pwt/" TargetMode="External"/><Relationship Id="rId13" Type="http://schemas.openxmlformats.org/officeDocument/2006/relationships/hyperlink" Target="http://www.nber.org/papers/w21142.pdf" TargetMode="External"/><Relationship Id="rId18" Type="http://schemas.openxmlformats.org/officeDocument/2006/relationships/hyperlink" Target="http://personal.lse.ac.uk/casellif/papers/structural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mes.chass.utoronto.ca/~xzhu/paper/tombezhulatest.pdf" TargetMode="External"/><Relationship Id="rId7" Type="http://schemas.openxmlformats.org/officeDocument/2006/relationships/hyperlink" Target="https://www.rug.nl/ggdc/" TargetMode="External"/><Relationship Id="rId12" Type="http://schemas.openxmlformats.org/officeDocument/2006/relationships/hyperlink" Target="https://www.rug.nl/ggdc/productivity/pld/" TargetMode="External"/><Relationship Id="rId17" Type="http://schemas.openxmlformats.org/officeDocument/2006/relationships/hyperlink" Target="https://www.dropbox.com/s/kn6yh1euametrtp/ABM_StructuralChange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ies.su.se/polopoly_fs/1.166943.1392369488%21/menu/standard/file/structural_change_%28revised_version%29.pdf" TargetMode="External"/><Relationship Id="rId20" Type="http://schemas.openxmlformats.org/officeDocument/2006/relationships/hyperlink" Target="https://www.economics.utoronto.ca/public/workingPapers/tecipa-39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ug.nl/ggdc/productivity/eu-klem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viewer?a=v&amp;pid=sites&amp;srcid=ZGVmYXVsdGRvbWFpbnxtYXJ0aW1lc3RpZXJpfGd4OjUxNDY2Zjc0YWJmYzY2ZjA" TargetMode="External"/><Relationship Id="rId23" Type="http://schemas.openxmlformats.org/officeDocument/2006/relationships/hyperlink" Target="https://doi.org/10.1016/j.jmoneco.2018.08.003" TargetMode="External"/><Relationship Id="rId10" Type="http://schemas.openxmlformats.org/officeDocument/2006/relationships/hyperlink" Target="https://www.rug.nl/ggdc/productivity/eu-klems/" TargetMode="External"/><Relationship Id="rId19" Type="http://schemas.openxmlformats.org/officeDocument/2006/relationships/hyperlink" Target="http://www.economics.utoronto.ca/xzhu/paper/BH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g.nl/ggdc/productivity/10-sector/" TargetMode="External"/><Relationship Id="rId14" Type="http://schemas.openxmlformats.org/officeDocument/2006/relationships/hyperlink" Target="http://www.public.asu.edu/~bherrend/Published%20Papers/Handbook%202013.pdf" TargetMode="External"/><Relationship Id="rId22" Type="http://schemas.openxmlformats.org/officeDocument/2006/relationships/hyperlink" Target="http://stanford.edu/~memorten/ewExternalFiles/Bryan_Morten_Indones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 FEB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Xiaodong Zhu</dc:creator>
  <cp:lastModifiedBy>admin</cp:lastModifiedBy>
  <cp:revision>2</cp:revision>
  <cp:lastPrinted>2018-09-13T01:47:00Z</cp:lastPrinted>
  <dcterms:created xsi:type="dcterms:W3CDTF">2020-09-25T00:20:00Z</dcterms:created>
  <dcterms:modified xsi:type="dcterms:W3CDTF">2020-09-25T00:20:00Z</dcterms:modified>
</cp:coreProperties>
</file>