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EF6" w:rsidRPr="00A913DD" w:rsidRDefault="009B601A" w:rsidP="00A913DD">
      <w:pPr>
        <w:jc w:val="center"/>
        <w:rPr>
          <w:b/>
          <w:color w:val="002060"/>
          <w:sz w:val="28"/>
          <w:szCs w:val="28"/>
        </w:rPr>
      </w:pPr>
      <w:r w:rsidRPr="00711824">
        <w:rPr>
          <w:b/>
          <w:color w:val="002060"/>
          <w:sz w:val="28"/>
          <w:szCs w:val="28"/>
        </w:rPr>
        <w:t>The EU Economic Policy Framework – An Insider’s View</w:t>
      </w:r>
    </w:p>
    <w:p w:rsidR="00943AF5" w:rsidRPr="00711824" w:rsidRDefault="00901106">
      <w:pPr>
        <w:rPr>
          <w:b/>
          <w:color w:val="002060"/>
          <w:sz w:val="24"/>
          <w:szCs w:val="24"/>
        </w:rPr>
      </w:pPr>
      <w:r w:rsidRPr="00711824">
        <w:rPr>
          <w:b/>
          <w:color w:val="002060"/>
          <w:sz w:val="24"/>
          <w:szCs w:val="24"/>
        </w:rPr>
        <w:t xml:space="preserve">Objective: </w:t>
      </w:r>
    </w:p>
    <w:p w:rsidR="00F73EF6" w:rsidRPr="00711824" w:rsidRDefault="009B601A">
      <w:pPr>
        <w:rPr>
          <w:color w:val="002060"/>
        </w:rPr>
      </w:pPr>
      <w:r w:rsidRPr="00711824">
        <w:rPr>
          <w:color w:val="002060"/>
        </w:rPr>
        <w:t>P</w:t>
      </w:r>
      <w:r w:rsidR="00901106" w:rsidRPr="00711824">
        <w:rPr>
          <w:color w:val="002060"/>
        </w:rPr>
        <w:t xml:space="preserve">resenting the institutional framework of European economic policy, the allocation and coordination of responsibilities between </w:t>
      </w:r>
      <w:r w:rsidR="00901106" w:rsidRPr="00C6057D">
        <w:rPr>
          <w:color w:val="002060"/>
        </w:rPr>
        <w:t>the</w:t>
      </w:r>
      <w:r w:rsidR="00901106" w:rsidRPr="00711824">
        <w:rPr>
          <w:color w:val="002060"/>
        </w:rPr>
        <w:t xml:space="preserve"> supra-national and the national level in a monetary union, the consequences of the common currency on different policy instruments, </w:t>
      </w:r>
      <w:r w:rsidR="00A866D2" w:rsidRPr="00711824">
        <w:rPr>
          <w:color w:val="002060"/>
        </w:rPr>
        <w:t>and the problems and future challenges arising for Europe. This will be an “insider’s” view from somebody who has worked many years in the European Commission. For each topic, we will address the issue what lessons Chinese economic policy may draw from the European experience.</w:t>
      </w:r>
    </w:p>
    <w:p w:rsidR="00943AF5" w:rsidRPr="00711824" w:rsidRDefault="00943AF5">
      <w:pPr>
        <w:rPr>
          <w:b/>
          <w:color w:val="002060"/>
          <w:sz w:val="24"/>
          <w:szCs w:val="24"/>
        </w:rPr>
      </w:pPr>
      <w:r w:rsidRPr="00711824">
        <w:rPr>
          <w:b/>
          <w:color w:val="002060"/>
          <w:sz w:val="24"/>
          <w:szCs w:val="24"/>
        </w:rPr>
        <w:t>Outline</w:t>
      </w:r>
      <w:r w:rsidR="009B601A" w:rsidRPr="00711824">
        <w:rPr>
          <w:b/>
          <w:color w:val="002060"/>
          <w:sz w:val="24"/>
          <w:szCs w:val="24"/>
        </w:rPr>
        <w:t>:</w:t>
      </w:r>
    </w:p>
    <w:p w:rsidR="00EB1945" w:rsidRPr="00711824" w:rsidRDefault="00EB1945" w:rsidP="00EB1945">
      <w:pPr>
        <w:pStyle w:val="ListParagraph"/>
        <w:numPr>
          <w:ilvl w:val="0"/>
          <w:numId w:val="1"/>
        </w:numPr>
        <w:rPr>
          <w:color w:val="002060"/>
        </w:rPr>
      </w:pPr>
      <w:r w:rsidRPr="00711824">
        <w:rPr>
          <w:color w:val="002060"/>
        </w:rPr>
        <w:t>Brief history of European integration</w:t>
      </w:r>
    </w:p>
    <w:p w:rsidR="00EB1945" w:rsidRPr="00711824" w:rsidRDefault="00EB1945" w:rsidP="000A5EB9">
      <w:pPr>
        <w:pStyle w:val="ListParagraph"/>
        <w:ind w:left="1440"/>
        <w:rPr>
          <w:i/>
          <w:color w:val="002060"/>
        </w:rPr>
      </w:pPr>
      <w:r w:rsidRPr="00711824">
        <w:rPr>
          <w:i/>
          <w:color w:val="002060"/>
        </w:rPr>
        <w:t>Major stages of enlargement and deeper cooperation between Member States</w:t>
      </w:r>
    </w:p>
    <w:p w:rsidR="00F73EF6" w:rsidRPr="00711824" w:rsidRDefault="00F73EF6" w:rsidP="00F73EF6">
      <w:pPr>
        <w:pStyle w:val="ListParagraph"/>
        <w:rPr>
          <w:color w:val="002060"/>
        </w:rPr>
      </w:pPr>
    </w:p>
    <w:p w:rsidR="00EB1945" w:rsidRPr="00711824" w:rsidRDefault="00EB1945" w:rsidP="00EB1945">
      <w:pPr>
        <w:pStyle w:val="ListParagraph"/>
        <w:numPr>
          <w:ilvl w:val="0"/>
          <w:numId w:val="1"/>
        </w:numPr>
        <w:rPr>
          <w:color w:val="002060"/>
        </w:rPr>
      </w:pPr>
      <w:r w:rsidRPr="00711824">
        <w:rPr>
          <w:color w:val="002060"/>
        </w:rPr>
        <w:t>Economic performance and challenges ahead</w:t>
      </w:r>
    </w:p>
    <w:p w:rsidR="009B601A" w:rsidRPr="00711824" w:rsidRDefault="009B601A" w:rsidP="009B601A">
      <w:pPr>
        <w:pStyle w:val="ListParagraph"/>
        <w:ind w:left="1440"/>
        <w:rPr>
          <w:i/>
          <w:color w:val="002060"/>
        </w:rPr>
      </w:pPr>
      <w:r w:rsidRPr="00711824">
        <w:rPr>
          <w:i/>
          <w:color w:val="002060"/>
        </w:rPr>
        <w:t>Key indicators; good vs. bad performers; prospects for growth and competitiveness</w:t>
      </w:r>
    </w:p>
    <w:p w:rsidR="00F73EF6" w:rsidRPr="00711824" w:rsidRDefault="00F73EF6" w:rsidP="009B601A">
      <w:pPr>
        <w:pStyle w:val="ListParagraph"/>
        <w:ind w:left="1440"/>
        <w:rPr>
          <w:i/>
          <w:color w:val="002060"/>
        </w:rPr>
      </w:pPr>
    </w:p>
    <w:p w:rsidR="00EB1945" w:rsidRPr="00711824" w:rsidRDefault="00EB1945" w:rsidP="00EB1945">
      <w:pPr>
        <w:pStyle w:val="ListParagraph"/>
        <w:numPr>
          <w:ilvl w:val="0"/>
          <w:numId w:val="1"/>
        </w:numPr>
        <w:rPr>
          <w:color w:val="002060"/>
        </w:rPr>
      </w:pPr>
      <w:r w:rsidRPr="00711824">
        <w:rPr>
          <w:color w:val="002060"/>
        </w:rPr>
        <w:t>The crisis in the Euro area</w:t>
      </w:r>
    </w:p>
    <w:p w:rsidR="009B601A" w:rsidRPr="00711824" w:rsidRDefault="000A5EB9" w:rsidP="009B601A">
      <w:pPr>
        <w:pStyle w:val="ListParagraph"/>
        <w:ind w:left="1440"/>
        <w:rPr>
          <w:i/>
          <w:color w:val="002060"/>
        </w:rPr>
      </w:pPr>
      <w:r w:rsidRPr="00711824">
        <w:rPr>
          <w:i/>
          <w:color w:val="002060"/>
        </w:rPr>
        <w:t>Causes – repercussions – policy reactions</w:t>
      </w:r>
    </w:p>
    <w:p w:rsidR="00F73EF6" w:rsidRPr="00711824" w:rsidRDefault="00F73EF6" w:rsidP="009B601A">
      <w:pPr>
        <w:pStyle w:val="ListParagraph"/>
        <w:ind w:left="1440"/>
        <w:rPr>
          <w:i/>
          <w:color w:val="002060"/>
        </w:rPr>
      </w:pPr>
    </w:p>
    <w:p w:rsidR="000A5EB9" w:rsidRPr="00711824" w:rsidRDefault="00EB1945" w:rsidP="00EB1945">
      <w:pPr>
        <w:pStyle w:val="ListParagraph"/>
        <w:numPr>
          <w:ilvl w:val="0"/>
          <w:numId w:val="1"/>
        </w:numPr>
        <w:rPr>
          <w:color w:val="002060"/>
        </w:rPr>
      </w:pPr>
      <w:r w:rsidRPr="00711824">
        <w:rPr>
          <w:color w:val="002060"/>
        </w:rPr>
        <w:t>“Brexit” and its consequences</w:t>
      </w:r>
    </w:p>
    <w:p w:rsidR="000A5EB9" w:rsidRPr="00711824" w:rsidRDefault="000A5EB9" w:rsidP="000A5EB9">
      <w:pPr>
        <w:pStyle w:val="ListParagraph"/>
        <w:ind w:left="1440"/>
        <w:rPr>
          <w:i/>
          <w:color w:val="002060"/>
        </w:rPr>
      </w:pPr>
      <w:r w:rsidRPr="00711824">
        <w:rPr>
          <w:i/>
          <w:color w:val="002060"/>
        </w:rPr>
        <w:t>Options for future EU – U.K. relations; consequences for U.K. and EU</w:t>
      </w:r>
    </w:p>
    <w:p w:rsidR="00F73EF6" w:rsidRPr="00711824" w:rsidRDefault="00F73EF6" w:rsidP="000A5EB9">
      <w:pPr>
        <w:pStyle w:val="ListParagraph"/>
        <w:ind w:left="1440"/>
        <w:rPr>
          <w:i/>
          <w:color w:val="002060"/>
        </w:rPr>
      </w:pPr>
    </w:p>
    <w:p w:rsidR="00EB1945" w:rsidRPr="00711824" w:rsidRDefault="00EB1945" w:rsidP="00EB1945">
      <w:pPr>
        <w:pStyle w:val="ListParagraph"/>
        <w:numPr>
          <w:ilvl w:val="0"/>
          <w:numId w:val="1"/>
        </w:numPr>
        <w:rPr>
          <w:color w:val="002060"/>
        </w:rPr>
      </w:pPr>
      <w:r w:rsidRPr="00711824">
        <w:rPr>
          <w:color w:val="002060"/>
        </w:rPr>
        <w:t>The EU budget and its composition</w:t>
      </w:r>
    </w:p>
    <w:p w:rsidR="000A5EB9" w:rsidRPr="00711824" w:rsidRDefault="000A5EB9" w:rsidP="000A5EB9">
      <w:pPr>
        <w:pStyle w:val="ListParagraph"/>
        <w:ind w:left="1440"/>
        <w:rPr>
          <w:i/>
          <w:color w:val="002060"/>
        </w:rPr>
      </w:pPr>
      <w:r w:rsidRPr="00711824">
        <w:rPr>
          <w:i/>
          <w:color w:val="002060"/>
        </w:rPr>
        <w:t>Major expenditure and revenue categories; is the EU budget “forward-looking”?</w:t>
      </w:r>
    </w:p>
    <w:p w:rsidR="00F73EF6" w:rsidRPr="00711824" w:rsidRDefault="00F73EF6" w:rsidP="000A5EB9">
      <w:pPr>
        <w:pStyle w:val="ListParagraph"/>
        <w:ind w:left="1440"/>
        <w:rPr>
          <w:i/>
          <w:color w:val="002060"/>
        </w:rPr>
      </w:pPr>
    </w:p>
    <w:p w:rsidR="00EB1945" w:rsidRPr="00711824" w:rsidRDefault="00EB1945" w:rsidP="00EB1945">
      <w:pPr>
        <w:pStyle w:val="ListParagraph"/>
        <w:numPr>
          <w:ilvl w:val="0"/>
          <w:numId w:val="1"/>
        </w:numPr>
        <w:rPr>
          <w:color w:val="002060"/>
        </w:rPr>
      </w:pPr>
      <w:r w:rsidRPr="00711824">
        <w:rPr>
          <w:color w:val="002060"/>
        </w:rPr>
        <w:t>The institutional framework of economic policy in Europe</w:t>
      </w:r>
    </w:p>
    <w:p w:rsidR="00253E69" w:rsidRPr="00711824" w:rsidRDefault="00253E69" w:rsidP="00253E69">
      <w:pPr>
        <w:pStyle w:val="ListParagraph"/>
        <w:ind w:left="1440"/>
        <w:rPr>
          <w:i/>
          <w:color w:val="002060"/>
        </w:rPr>
      </w:pPr>
      <w:r w:rsidRPr="00711824">
        <w:rPr>
          <w:i/>
          <w:color w:val="002060"/>
        </w:rPr>
        <w:t>Responsibilities at EU vs. Member States level; policy coordination mechanisms</w:t>
      </w:r>
    </w:p>
    <w:p w:rsidR="00F73EF6" w:rsidRPr="00711824" w:rsidRDefault="00F73EF6" w:rsidP="00253E69">
      <w:pPr>
        <w:pStyle w:val="ListParagraph"/>
        <w:ind w:left="1440"/>
        <w:rPr>
          <w:i/>
          <w:color w:val="002060"/>
        </w:rPr>
      </w:pPr>
    </w:p>
    <w:p w:rsidR="00EB1945" w:rsidRPr="00711824" w:rsidRDefault="00EB1945" w:rsidP="00EB1945">
      <w:pPr>
        <w:pStyle w:val="ListParagraph"/>
        <w:numPr>
          <w:ilvl w:val="0"/>
          <w:numId w:val="1"/>
        </w:numPr>
        <w:rPr>
          <w:color w:val="002060"/>
        </w:rPr>
      </w:pPr>
      <w:r w:rsidRPr="00711824">
        <w:rPr>
          <w:color w:val="002060"/>
        </w:rPr>
        <w:t>Monetary policy and the role of the ECB</w:t>
      </w:r>
    </w:p>
    <w:p w:rsidR="00253E69" w:rsidRPr="00711824" w:rsidRDefault="00253E69" w:rsidP="00253E69">
      <w:pPr>
        <w:pStyle w:val="ListParagraph"/>
        <w:ind w:left="1440"/>
        <w:rPr>
          <w:i/>
          <w:color w:val="002060"/>
        </w:rPr>
      </w:pPr>
      <w:r w:rsidRPr="00711824">
        <w:rPr>
          <w:i/>
          <w:color w:val="002060"/>
        </w:rPr>
        <w:t>Mandate and independence of ECB; strategies for the single monetary policy</w:t>
      </w:r>
    </w:p>
    <w:p w:rsidR="00F73EF6" w:rsidRPr="00711824" w:rsidRDefault="00F73EF6" w:rsidP="00253E69">
      <w:pPr>
        <w:pStyle w:val="ListParagraph"/>
        <w:ind w:left="1440"/>
        <w:rPr>
          <w:i/>
          <w:color w:val="002060"/>
        </w:rPr>
      </w:pPr>
    </w:p>
    <w:p w:rsidR="00EB1945" w:rsidRPr="00711824" w:rsidRDefault="00C22284" w:rsidP="00EB1945">
      <w:pPr>
        <w:pStyle w:val="ListParagraph"/>
        <w:numPr>
          <w:ilvl w:val="0"/>
          <w:numId w:val="1"/>
        </w:numPr>
        <w:rPr>
          <w:color w:val="002060"/>
        </w:rPr>
      </w:pPr>
      <w:r w:rsidRPr="00711824">
        <w:rPr>
          <w:color w:val="002060"/>
        </w:rPr>
        <w:t>Fiscal policy – the Stability Pact and lessons from the debt crisis</w:t>
      </w:r>
    </w:p>
    <w:p w:rsidR="00253E69" w:rsidRDefault="00F73EF6" w:rsidP="00253E69">
      <w:pPr>
        <w:pStyle w:val="ListParagraph"/>
        <w:ind w:left="1440"/>
        <w:rPr>
          <w:i/>
          <w:color w:val="002060"/>
        </w:rPr>
      </w:pPr>
      <w:r w:rsidRPr="00711824">
        <w:rPr>
          <w:i/>
          <w:color w:val="002060"/>
        </w:rPr>
        <w:t>Ex-ante coordination; excessive deficit procedure; lack of fiscal discipline</w:t>
      </w:r>
    </w:p>
    <w:p w:rsidR="00A913DD" w:rsidRPr="00711824" w:rsidRDefault="00A913DD" w:rsidP="00253E69">
      <w:pPr>
        <w:pStyle w:val="ListParagraph"/>
        <w:ind w:left="1440"/>
        <w:rPr>
          <w:i/>
          <w:color w:val="002060"/>
        </w:rPr>
      </w:pPr>
    </w:p>
    <w:p w:rsidR="00F73EF6" w:rsidRDefault="00A913DD" w:rsidP="00A913DD">
      <w:pPr>
        <w:pStyle w:val="ListParagraph"/>
        <w:numPr>
          <w:ilvl w:val="0"/>
          <w:numId w:val="1"/>
        </w:numPr>
        <w:rPr>
          <w:color w:val="002060"/>
        </w:rPr>
      </w:pPr>
      <w:r>
        <w:rPr>
          <w:color w:val="002060"/>
        </w:rPr>
        <w:t>The European welfare state</w:t>
      </w:r>
    </w:p>
    <w:p w:rsidR="00A913DD" w:rsidRPr="00A913DD" w:rsidRDefault="00A913DD" w:rsidP="00A913DD">
      <w:pPr>
        <w:pStyle w:val="ListParagraph"/>
        <w:ind w:left="1440"/>
        <w:rPr>
          <w:i/>
          <w:color w:val="002060"/>
        </w:rPr>
      </w:pPr>
      <w:r w:rsidRPr="00A913DD">
        <w:rPr>
          <w:i/>
          <w:color w:val="002060"/>
        </w:rPr>
        <w:t>Different types of social models – their respective advantages and drawbacks</w:t>
      </w:r>
      <w:bookmarkStart w:id="0" w:name="_GoBack"/>
      <w:bookmarkEnd w:id="0"/>
    </w:p>
    <w:p w:rsidR="00A913DD" w:rsidRPr="00A913DD" w:rsidRDefault="00A913DD" w:rsidP="00A913DD">
      <w:pPr>
        <w:pStyle w:val="ListParagraph"/>
        <w:ind w:left="1440"/>
        <w:rPr>
          <w:color w:val="002060"/>
        </w:rPr>
      </w:pPr>
    </w:p>
    <w:p w:rsidR="00C22284" w:rsidRPr="00711824" w:rsidRDefault="00C22284" w:rsidP="00EB1945">
      <w:pPr>
        <w:pStyle w:val="ListParagraph"/>
        <w:numPr>
          <w:ilvl w:val="0"/>
          <w:numId w:val="1"/>
        </w:numPr>
        <w:rPr>
          <w:color w:val="002060"/>
        </w:rPr>
      </w:pPr>
      <w:r w:rsidRPr="00711824">
        <w:rPr>
          <w:color w:val="002060"/>
        </w:rPr>
        <w:t>Strategies for stronger economic growth – success and failures</w:t>
      </w:r>
    </w:p>
    <w:p w:rsidR="00F73EF6" w:rsidRPr="00711824" w:rsidRDefault="00F73EF6" w:rsidP="00F73EF6">
      <w:pPr>
        <w:pStyle w:val="ListParagraph"/>
        <w:ind w:left="1440"/>
        <w:rPr>
          <w:i/>
          <w:color w:val="002060"/>
        </w:rPr>
      </w:pPr>
      <w:r w:rsidRPr="00711824">
        <w:rPr>
          <w:i/>
          <w:color w:val="002060"/>
        </w:rPr>
        <w:t>Diagnosis and causes of sluggish growth; reasons for limited success of EU strategies</w:t>
      </w:r>
    </w:p>
    <w:p w:rsidR="00943AF5" w:rsidRPr="00711824" w:rsidRDefault="00943AF5" w:rsidP="00943AF5">
      <w:pPr>
        <w:pStyle w:val="ListParagraph"/>
        <w:rPr>
          <w:color w:val="002060"/>
        </w:rPr>
      </w:pPr>
    </w:p>
    <w:p w:rsidR="00943AF5" w:rsidRPr="00711824" w:rsidRDefault="00F73EF6" w:rsidP="00943AF5">
      <w:pPr>
        <w:pStyle w:val="ListParagraph"/>
        <w:ind w:left="0"/>
        <w:rPr>
          <w:b/>
          <w:color w:val="002060"/>
          <w:sz w:val="24"/>
          <w:szCs w:val="24"/>
        </w:rPr>
      </w:pPr>
      <w:r w:rsidRPr="00711824">
        <w:rPr>
          <w:b/>
          <w:color w:val="002060"/>
          <w:sz w:val="24"/>
          <w:szCs w:val="24"/>
        </w:rPr>
        <w:t>Agenda</w:t>
      </w:r>
      <w:r w:rsidR="009B601A" w:rsidRPr="00711824">
        <w:rPr>
          <w:b/>
          <w:color w:val="002060"/>
          <w:sz w:val="24"/>
          <w:szCs w:val="24"/>
        </w:rPr>
        <w:t>:</w:t>
      </w:r>
    </w:p>
    <w:p w:rsidR="00F73EF6" w:rsidRPr="00711824" w:rsidRDefault="00F73EF6" w:rsidP="00943AF5">
      <w:pPr>
        <w:pStyle w:val="ListParagraph"/>
        <w:ind w:left="0"/>
        <w:rPr>
          <w:color w:val="002060"/>
        </w:rPr>
      </w:pPr>
    </w:p>
    <w:p w:rsidR="00943AF5" w:rsidRPr="00711824" w:rsidRDefault="00943AF5" w:rsidP="00943AF5">
      <w:pPr>
        <w:pStyle w:val="ListParagraph"/>
        <w:ind w:left="0"/>
        <w:rPr>
          <w:color w:val="002060"/>
        </w:rPr>
      </w:pPr>
      <w:r w:rsidRPr="00711824">
        <w:rPr>
          <w:color w:val="002060"/>
        </w:rPr>
        <w:t xml:space="preserve">These topics shall be addressed at a rhythm of 2 credit hours per subject, each lecture being supported by a </w:t>
      </w:r>
      <w:proofErr w:type="spellStart"/>
      <w:r w:rsidR="001F0937" w:rsidRPr="00711824">
        <w:rPr>
          <w:color w:val="002060"/>
        </w:rPr>
        <w:t>P</w:t>
      </w:r>
      <w:r w:rsidRPr="00711824">
        <w:rPr>
          <w:color w:val="002060"/>
        </w:rPr>
        <w:t>owerpoint</w:t>
      </w:r>
      <w:proofErr w:type="spellEnd"/>
      <w:r w:rsidR="001F0937" w:rsidRPr="00711824">
        <w:rPr>
          <w:color w:val="002060"/>
        </w:rPr>
        <w:t>-</w:t>
      </w:r>
      <w:r w:rsidRPr="00711824">
        <w:rPr>
          <w:color w:val="002060"/>
        </w:rPr>
        <w:t>presentation and followed by a general discussion and questions-and-answers session.</w:t>
      </w:r>
    </w:p>
    <w:sectPr w:rsidR="00943AF5" w:rsidRPr="007118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950FA0"/>
    <w:multiLevelType w:val="hybridMultilevel"/>
    <w:tmpl w:val="E104ED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106"/>
    <w:rsid w:val="000A5EB9"/>
    <w:rsid w:val="001F0937"/>
    <w:rsid w:val="00253E69"/>
    <w:rsid w:val="00403B1F"/>
    <w:rsid w:val="004E039C"/>
    <w:rsid w:val="00711824"/>
    <w:rsid w:val="00901106"/>
    <w:rsid w:val="00943AF5"/>
    <w:rsid w:val="009B601A"/>
    <w:rsid w:val="00A5750F"/>
    <w:rsid w:val="00A866D2"/>
    <w:rsid w:val="00A913DD"/>
    <w:rsid w:val="00C22284"/>
    <w:rsid w:val="00C6057D"/>
    <w:rsid w:val="00DB4E38"/>
    <w:rsid w:val="00EB1945"/>
    <w:rsid w:val="00F73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2E74A-96FF-480C-A4A0-6635077D1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Busch</dc:creator>
  <cp:keywords/>
  <dc:description/>
  <cp:lastModifiedBy>Georg Busch</cp:lastModifiedBy>
  <cp:revision>2</cp:revision>
  <cp:lastPrinted>2017-02-16T18:11:00Z</cp:lastPrinted>
  <dcterms:created xsi:type="dcterms:W3CDTF">2018-06-17T10:57:00Z</dcterms:created>
  <dcterms:modified xsi:type="dcterms:W3CDTF">2018-06-17T10:57:00Z</dcterms:modified>
</cp:coreProperties>
</file>